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665" w:rsidRDefault="002C0665" w:rsidP="002C0665">
      <w:pPr>
        <w:pStyle w:val="Titre"/>
      </w:pPr>
      <w:r>
        <w:t>Les tests d’orientation</w:t>
      </w:r>
    </w:p>
    <w:p w:rsidR="002C0665" w:rsidRDefault="002C0665" w:rsidP="002C0665">
      <w:pPr>
        <w:jc w:val="both"/>
      </w:pPr>
    </w:p>
    <w:p w:rsidR="002C0665" w:rsidRDefault="002C0665" w:rsidP="002C0665">
      <w:pPr>
        <w:jc w:val="both"/>
      </w:pPr>
    </w:p>
    <w:p w:rsidR="002C0665" w:rsidRDefault="002C0665" w:rsidP="002C0665">
      <w:pPr>
        <w:jc w:val="both"/>
      </w:pPr>
      <w:r>
        <w:t>Lors de la détermination d’une espèce bactérienne, certains critères permettent d’orienter notre diagnostic de façon précise, si on suit une méthode : ce sont les tests d’orientation. Après une courte description de ces tests, les clés dichotomiques de base seront données sous forme de tableaux.  Pour finir, nous expliquerons la méthode logique pour identifier une souche à l’aide d’exemples.</w:t>
      </w:r>
    </w:p>
    <w:p w:rsidR="002C0665" w:rsidRDefault="002C0665" w:rsidP="002C0665">
      <w:pPr>
        <w:jc w:val="both"/>
      </w:pPr>
    </w:p>
    <w:p w:rsidR="002C0665" w:rsidRDefault="002C0665" w:rsidP="002C0665">
      <w:pPr>
        <w:jc w:val="both"/>
      </w:pPr>
    </w:p>
    <w:p w:rsidR="002C0665" w:rsidRDefault="002C0665" w:rsidP="002C0665">
      <w:pPr>
        <w:pStyle w:val="Titre1"/>
      </w:pPr>
      <w:r>
        <w:t>I La coloration de Gram</w:t>
      </w:r>
    </w:p>
    <w:p w:rsidR="002C0665" w:rsidRDefault="002C0665" w:rsidP="002C0665">
      <w:pPr>
        <w:jc w:val="both"/>
      </w:pPr>
    </w:p>
    <w:p w:rsidR="002C0665" w:rsidRDefault="002C0665" w:rsidP="002C0665">
      <w:pPr>
        <w:jc w:val="both"/>
      </w:pPr>
      <w:r>
        <w:t xml:space="preserve">L’explication théorique de cette coloration est donnée dans le texte « Observations microscopiques ».  </w:t>
      </w:r>
    </w:p>
    <w:p w:rsidR="002C0665" w:rsidRDefault="002C0665" w:rsidP="002C0665">
      <w:pPr>
        <w:jc w:val="both"/>
      </w:pPr>
    </w:p>
    <w:p w:rsidR="002C0665" w:rsidRDefault="002C0665" w:rsidP="002C0665">
      <w:pPr>
        <w:jc w:val="both"/>
      </w:pPr>
      <w:r>
        <w:t xml:space="preserve">Ce premier caractère permet de déterminer 3 groupes de bactéries : les Gram </w:t>
      </w:r>
      <w:r>
        <w:rPr>
          <w:b/>
          <w:bCs/>
        </w:rPr>
        <w:t>positifs (violet</w:t>
      </w:r>
      <w:r>
        <w:t xml:space="preserve">), les Gram </w:t>
      </w:r>
      <w:r>
        <w:rPr>
          <w:b/>
          <w:bCs/>
        </w:rPr>
        <w:t>négatifs (rose)</w:t>
      </w:r>
      <w:r>
        <w:t xml:space="preserve"> et les bactéries non colorables par cette méthode.</w:t>
      </w:r>
    </w:p>
    <w:p w:rsidR="002C0665" w:rsidRDefault="002C0665" w:rsidP="002C0665">
      <w:pPr>
        <w:jc w:val="both"/>
      </w:pPr>
    </w:p>
    <w:p w:rsidR="002C0665" w:rsidRDefault="002C0665" w:rsidP="002C0665">
      <w:pPr>
        <w:jc w:val="center"/>
      </w:pPr>
      <w:r>
        <w:rPr>
          <w:noProof/>
        </w:rPr>
        <w:drawing>
          <wp:inline distT="0" distB="0" distL="0" distR="0">
            <wp:extent cx="2171700" cy="1524000"/>
            <wp:effectExtent l="19050" t="0" r="0" b="0"/>
            <wp:docPr id="1" name="Image 1" descr="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m"/>
                    <pic:cNvPicPr>
                      <a:picLocks noChangeAspect="1" noChangeArrowheads="1"/>
                    </pic:cNvPicPr>
                  </pic:nvPicPr>
                  <pic:blipFill>
                    <a:blip r:embed="rId5"/>
                    <a:srcRect/>
                    <a:stretch>
                      <a:fillRect/>
                    </a:stretch>
                  </pic:blipFill>
                  <pic:spPr bwMode="auto">
                    <a:xfrm>
                      <a:off x="0" y="0"/>
                      <a:ext cx="2171700" cy="1524000"/>
                    </a:xfrm>
                    <a:prstGeom prst="rect">
                      <a:avLst/>
                    </a:prstGeom>
                    <a:noFill/>
                    <a:ln w="9525">
                      <a:noFill/>
                      <a:miter lim="800000"/>
                      <a:headEnd/>
                      <a:tailEnd/>
                    </a:ln>
                  </pic:spPr>
                </pic:pic>
              </a:graphicData>
            </a:graphic>
          </wp:inline>
        </w:drawing>
      </w:r>
    </w:p>
    <w:p w:rsidR="002C0665" w:rsidRDefault="002C0665" w:rsidP="002C0665">
      <w:pPr>
        <w:jc w:val="center"/>
      </w:pPr>
    </w:p>
    <w:p w:rsidR="002C0665" w:rsidRDefault="002C0665" w:rsidP="002C0665">
      <w:pPr>
        <w:jc w:val="both"/>
      </w:pPr>
    </w:p>
    <w:p w:rsidR="002C0665" w:rsidRDefault="002C0665" w:rsidP="002C0665">
      <w:pPr>
        <w:jc w:val="both"/>
      </w:pPr>
      <w:r>
        <w:t>Causes d’erreurs </w:t>
      </w:r>
      <w:proofErr w:type="gramStart"/>
      <w:r>
        <w:t>:  frottis</w:t>
      </w:r>
      <w:proofErr w:type="gramEnd"/>
      <w:r>
        <w:t xml:space="preserve"> trop  épais ou trop chauffé, décoloration à l’alcool pas ou trop poussée. </w:t>
      </w:r>
    </w:p>
    <w:p w:rsidR="002C0665" w:rsidRDefault="002C0665" w:rsidP="002C0665">
      <w:pPr>
        <w:jc w:val="both"/>
      </w:pPr>
    </w:p>
    <w:p w:rsidR="002C0665" w:rsidRDefault="002C0665" w:rsidP="002C0665">
      <w:pPr>
        <w:pStyle w:val="Titre1"/>
      </w:pPr>
      <w:r>
        <w:t>II La recherche de l’oxydase</w:t>
      </w:r>
    </w:p>
    <w:p w:rsidR="002C0665" w:rsidRDefault="002C0665" w:rsidP="002C0665">
      <w:pPr>
        <w:jc w:val="both"/>
      </w:pPr>
    </w:p>
    <w:p w:rsidR="002C0665" w:rsidRDefault="002C0665" w:rsidP="002C0665">
      <w:pPr>
        <w:jc w:val="both"/>
      </w:pPr>
      <w:r>
        <w:t>Le terme exact est « recherche du cytochrome oxydase ». Les  cytochromes sont des protéines qui appartiennent à la chaîne respiratoire, composée d’une succession de transporteurs d’électrons, en particulier les cytochromes</w:t>
      </w:r>
      <w:proofErr w:type="gramStart"/>
      <w:r>
        <w:t>..</w:t>
      </w:r>
      <w:proofErr w:type="gramEnd"/>
      <w:r>
        <w:t xml:space="preserve">  En fait, ce test recherche le cytochrome c-oxydase. </w:t>
      </w:r>
    </w:p>
    <w:p w:rsidR="002C0665" w:rsidRDefault="002C0665" w:rsidP="002C0665">
      <w:pPr>
        <w:jc w:val="both"/>
      </w:pPr>
      <w:r>
        <w:t xml:space="preserve"> Depuis plusieurs décennies, et bien avant que ne soit connu dans le détail le rôle des cytochromes, la recherche de l‘oxydase est un des critères le plus discriminatif et le plus employé pour l’identification des bactéries, surtout celles des bactéries à Gram négatif.</w:t>
      </w:r>
    </w:p>
    <w:p w:rsidR="002C0665" w:rsidRDefault="002C0665" w:rsidP="002C0665">
      <w:pPr>
        <w:jc w:val="both"/>
      </w:pPr>
      <w:r>
        <w:t>Cette recherche consiste à mettre en évidence la capacité de la bactérie testée, à oxyder la forme réduite incolore de dérivés N-</w:t>
      </w:r>
      <w:proofErr w:type="spellStart"/>
      <w:r>
        <w:t>méthylé</w:t>
      </w:r>
      <w:proofErr w:type="spellEnd"/>
      <w:r>
        <w:t xml:space="preserve"> du </w:t>
      </w:r>
      <w:proofErr w:type="spellStart"/>
      <w:r>
        <w:t>paraphénylène</w:t>
      </w:r>
      <w:proofErr w:type="spellEnd"/>
      <w:r>
        <w:t xml:space="preserve"> diamine, en leurs formes oxydées semi-</w:t>
      </w:r>
      <w:proofErr w:type="spellStart"/>
      <w:r>
        <w:t>quinoniques</w:t>
      </w:r>
      <w:proofErr w:type="spellEnd"/>
      <w:r>
        <w:t xml:space="preserve"> rose-violacées.</w:t>
      </w:r>
    </w:p>
    <w:p w:rsidR="002C0665" w:rsidRDefault="002C0665" w:rsidP="002C0665">
      <w:pPr>
        <w:jc w:val="both"/>
      </w:pPr>
    </w:p>
    <w:p w:rsidR="002C0665" w:rsidRDefault="002C0665" w:rsidP="002C0665">
      <w:pPr>
        <w:jc w:val="both"/>
      </w:pPr>
      <w:r>
        <w:t>Les techniques possibles utilisent de préférence le réactif sous forme d’oxalate plus stable.  On utilise pour cela des disques, des bâtonnets ou des bandelettes pré-imprégnés. On utilise parfois des solutions…</w:t>
      </w:r>
    </w:p>
    <w:p w:rsidR="002C0665" w:rsidRDefault="002C0665" w:rsidP="002C0665">
      <w:pPr>
        <w:jc w:val="both"/>
      </w:pPr>
    </w:p>
    <w:p w:rsidR="002C0665" w:rsidRDefault="002C0665" w:rsidP="002C0665">
      <w:pPr>
        <w:jc w:val="both"/>
      </w:pPr>
    </w:p>
    <w:p w:rsidR="002C0665" w:rsidRDefault="002C0665" w:rsidP="002C0665">
      <w:pPr>
        <w:jc w:val="center"/>
      </w:pPr>
      <w:r>
        <w:rPr>
          <w:noProof/>
        </w:rPr>
        <w:drawing>
          <wp:inline distT="0" distB="0" distL="0" distR="0">
            <wp:extent cx="1800225" cy="666750"/>
            <wp:effectExtent l="19050" t="0" r="9525" b="0"/>
            <wp:docPr id="2" name="Image 2" descr="oxy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xydas"/>
                    <pic:cNvPicPr>
                      <a:picLocks noChangeAspect="1" noChangeArrowheads="1"/>
                    </pic:cNvPicPr>
                  </pic:nvPicPr>
                  <pic:blipFill>
                    <a:blip r:embed="rId6"/>
                    <a:srcRect t="27539" b="30727"/>
                    <a:stretch>
                      <a:fillRect/>
                    </a:stretch>
                  </pic:blipFill>
                  <pic:spPr bwMode="auto">
                    <a:xfrm>
                      <a:off x="0" y="0"/>
                      <a:ext cx="1800225" cy="666750"/>
                    </a:xfrm>
                    <a:prstGeom prst="rect">
                      <a:avLst/>
                    </a:prstGeom>
                    <a:noFill/>
                    <a:ln w="9525">
                      <a:noFill/>
                      <a:miter lim="800000"/>
                      <a:headEnd/>
                      <a:tailEnd/>
                    </a:ln>
                  </pic:spPr>
                </pic:pic>
              </a:graphicData>
            </a:graphic>
          </wp:inline>
        </w:drawing>
      </w:r>
    </w:p>
    <w:p w:rsidR="002C0665" w:rsidRDefault="002C0665" w:rsidP="002C0665">
      <w:pPr>
        <w:jc w:val="center"/>
      </w:pPr>
    </w:p>
    <w:p w:rsidR="002C0665" w:rsidRDefault="002C0665" w:rsidP="002C0665">
      <w:pPr>
        <w:jc w:val="center"/>
      </w:pPr>
    </w:p>
    <w:p w:rsidR="002C0665" w:rsidRDefault="002C0665" w:rsidP="002C0665">
      <w:pPr>
        <w:jc w:val="both"/>
      </w:pPr>
      <w:r>
        <w:t xml:space="preserve">Une </w:t>
      </w:r>
      <w:r>
        <w:rPr>
          <w:b/>
          <w:bCs/>
        </w:rPr>
        <w:t>réaction positive</w:t>
      </w:r>
      <w:r>
        <w:t xml:space="preserve"> se traduit par un </w:t>
      </w:r>
      <w:r>
        <w:rPr>
          <w:b/>
          <w:bCs/>
        </w:rPr>
        <w:t>virage rapide du réactif de l’incolore au violet</w:t>
      </w:r>
      <w:r>
        <w:t>. Sinon il reste incolore.</w:t>
      </w:r>
    </w:p>
    <w:p w:rsidR="002C0665" w:rsidRDefault="002C0665" w:rsidP="002C0665">
      <w:pPr>
        <w:jc w:val="both"/>
      </w:pPr>
    </w:p>
    <w:p w:rsidR="002C0665" w:rsidRDefault="002C0665" w:rsidP="002C0665">
      <w:pPr>
        <w:jc w:val="both"/>
      </w:pPr>
      <w:r>
        <w:t>Causes d’erreurs : réalisation du test à partir d’un milieu glucidique, un glucide ayant été attaqué : une fermentation peut cacher une respiration…, quantité insuffisante de bactéries, humidification trop importante du disque entraînant l’élimination du réactif, réactif périmé, instrument « oxydase+ » (certains métaux) ou portant des traces de colorant violet…, lecture trop tardive : au-delà de 30-40 secondes, le réactif s’oxyde spontanément à l’air…</w:t>
      </w:r>
    </w:p>
    <w:p w:rsidR="002C0665" w:rsidRDefault="002C0665" w:rsidP="002C0665">
      <w:pPr>
        <w:jc w:val="both"/>
      </w:pPr>
    </w:p>
    <w:p w:rsidR="002C0665" w:rsidRDefault="002C0665" w:rsidP="002C0665">
      <w:pPr>
        <w:pStyle w:val="Titre2"/>
        <w:rPr>
          <w:i w:val="0"/>
          <w:iCs w:val="0"/>
          <w:u w:val="single"/>
        </w:rPr>
      </w:pPr>
      <w:r>
        <w:rPr>
          <w:i w:val="0"/>
          <w:iCs w:val="0"/>
          <w:u w:val="single"/>
        </w:rPr>
        <w:t>III Recherche de la catalase</w:t>
      </w:r>
    </w:p>
    <w:p w:rsidR="002C0665" w:rsidRDefault="002C0665" w:rsidP="002C0665">
      <w:pPr>
        <w:jc w:val="both"/>
      </w:pPr>
    </w:p>
    <w:p w:rsidR="002C0665" w:rsidRDefault="002C0665" w:rsidP="002C0665">
      <w:pPr>
        <w:jc w:val="both"/>
      </w:pPr>
      <w:r>
        <w:t xml:space="preserve">Certaines réactions métaboliques aboutissent, dans les conditions de l’aérobiose, à la production de peroxyde d’hydrogène (= eau oxygénée ou </w:t>
      </w:r>
      <w:proofErr w:type="gramStart"/>
      <w:r>
        <w:t>H</w:t>
      </w:r>
      <w:r>
        <w:rPr>
          <w:vertAlign w:val="subscript"/>
        </w:rPr>
        <w:t>2</w:t>
      </w:r>
      <w:r>
        <w:t>O</w:t>
      </w:r>
      <w:r>
        <w:rPr>
          <w:vertAlign w:val="subscript"/>
        </w:rPr>
        <w:t>2</w:t>
      </w:r>
      <w:r>
        <w:t xml:space="preserve"> )</w:t>
      </w:r>
      <w:proofErr w:type="gramEnd"/>
      <w:r>
        <w:t>. Mais ce composé peut être le produit de la chaîne respiratoire.</w:t>
      </w:r>
    </w:p>
    <w:p w:rsidR="002C0665" w:rsidRDefault="002C0665" w:rsidP="002C0665">
      <w:pPr>
        <w:jc w:val="both"/>
      </w:pPr>
    </w:p>
    <w:p w:rsidR="002C0665" w:rsidRDefault="002C0665" w:rsidP="002C0665">
      <w:pPr>
        <w:jc w:val="both"/>
      </w:pPr>
      <w:r>
        <w:t xml:space="preserve">Cependant, ce peroxyde d’hydrogène doit être éliminé. C’est en effet un poison </w:t>
      </w:r>
      <w:proofErr w:type="gramStart"/>
      <w:r>
        <w:t>cellulaire .</w:t>
      </w:r>
      <w:proofErr w:type="gramEnd"/>
      <w:r>
        <w:t xml:space="preserve"> Sa décomposition dans l’organisme microbien peut être réalisée soit par des peroxydases, soit par la catalase (la peroxydase ayant toutefois une activité plus faible). En absence de système enzymatique destructeur, la vie en aérobie devient généralement impossible : les micro-organismes sont alors anaérobies strictes.</w:t>
      </w:r>
    </w:p>
    <w:p w:rsidR="002C0665" w:rsidRDefault="002C0665" w:rsidP="002C0665">
      <w:pPr>
        <w:jc w:val="both"/>
      </w:pPr>
    </w:p>
    <w:p w:rsidR="002C0665" w:rsidRDefault="002C0665" w:rsidP="002C0665">
      <w:pPr>
        <w:jc w:val="both"/>
      </w:pPr>
      <w:r>
        <w:t>La catalase est une enzyme importante. Elle joue un rôle majeur dans l’élimination du peroxyde d’hydrogène selon la réaction suivante :</w:t>
      </w:r>
    </w:p>
    <w:p w:rsidR="002C0665" w:rsidRDefault="002C0665" w:rsidP="002C0665">
      <w:pPr>
        <w:jc w:val="both"/>
      </w:pPr>
    </w:p>
    <w:p w:rsidR="002C0665" w:rsidRDefault="002C0665" w:rsidP="002C0665">
      <w:pPr>
        <w:jc w:val="center"/>
      </w:pPr>
      <w:r>
        <w:t>2 H</w:t>
      </w:r>
      <w:r>
        <w:rPr>
          <w:vertAlign w:val="subscript"/>
        </w:rPr>
        <w:t>2</w:t>
      </w:r>
      <w:r>
        <w:t>O</w:t>
      </w:r>
      <w:r>
        <w:rPr>
          <w:vertAlign w:val="subscript"/>
        </w:rPr>
        <w:t>2</w:t>
      </w:r>
      <w:r>
        <w:t xml:space="preserve"> ------</w:t>
      </w:r>
      <w:r>
        <w:rPr>
          <w:noProof/>
        </w:rPr>
        <w:sym w:font="Wingdings" w:char="F0E0"/>
      </w:r>
      <w:r>
        <w:t xml:space="preserve"> O</w:t>
      </w:r>
      <w:r>
        <w:rPr>
          <w:vertAlign w:val="subscript"/>
        </w:rPr>
        <w:t>2</w:t>
      </w:r>
      <w:r>
        <w:t xml:space="preserve"> + 2 H</w:t>
      </w:r>
      <w:r>
        <w:rPr>
          <w:vertAlign w:val="subscript"/>
        </w:rPr>
        <w:t>2</w:t>
      </w:r>
      <w:r>
        <w:t>O</w:t>
      </w:r>
    </w:p>
    <w:p w:rsidR="002C0665" w:rsidRDefault="002C0665" w:rsidP="002C0665">
      <w:pPr>
        <w:jc w:val="center"/>
      </w:pPr>
    </w:p>
    <w:p w:rsidR="002C0665" w:rsidRDefault="002C0665" w:rsidP="002C0665">
      <w:pPr>
        <w:jc w:val="both"/>
      </w:pPr>
    </w:p>
    <w:p w:rsidR="002C0665" w:rsidRDefault="002C0665" w:rsidP="002C0665">
      <w:pPr>
        <w:jc w:val="both"/>
      </w:pPr>
      <w:r>
        <w:t xml:space="preserve">La plupart des micro-organismes aérobies possèdent une </w:t>
      </w:r>
      <w:proofErr w:type="gramStart"/>
      <w:r>
        <w:t>catalase .</w:t>
      </w:r>
      <w:proofErr w:type="gramEnd"/>
      <w:r>
        <w:t xml:space="preserve"> Parmi les bactéries Gram positives, seule les </w:t>
      </w:r>
      <w:proofErr w:type="spellStart"/>
      <w:r>
        <w:rPr>
          <w:i/>
          <w:iCs/>
        </w:rPr>
        <w:t>Streptococcaceae</w:t>
      </w:r>
      <w:proofErr w:type="spellEnd"/>
      <w:r>
        <w:t xml:space="preserve">, les </w:t>
      </w:r>
      <w:proofErr w:type="spellStart"/>
      <w:r>
        <w:rPr>
          <w:i/>
          <w:iCs/>
        </w:rPr>
        <w:t>Lactobacillus</w:t>
      </w:r>
      <w:proofErr w:type="spellEnd"/>
      <w:r>
        <w:t xml:space="preserve">, les </w:t>
      </w:r>
      <w:proofErr w:type="spellStart"/>
      <w:r>
        <w:rPr>
          <w:i/>
          <w:iCs/>
        </w:rPr>
        <w:t>Erysipelothrix</w:t>
      </w:r>
      <w:proofErr w:type="spellEnd"/>
      <w:r>
        <w:t xml:space="preserve"> (et bien sûr les </w:t>
      </w:r>
      <w:proofErr w:type="spellStart"/>
      <w:r>
        <w:rPr>
          <w:i/>
          <w:iCs/>
        </w:rPr>
        <w:t>Clostridium</w:t>
      </w:r>
      <w:proofErr w:type="spellEnd"/>
      <w:r>
        <w:t>) sont dépourvues de catalase.</w:t>
      </w:r>
    </w:p>
    <w:p w:rsidR="002C0665" w:rsidRDefault="002C0665" w:rsidP="002C0665">
      <w:pPr>
        <w:jc w:val="both"/>
      </w:pPr>
    </w:p>
    <w:p w:rsidR="002C0665" w:rsidRDefault="002C0665" w:rsidP="002C0665">
      <w:pPr>
        <w:jc w:val="both"/>
      </w:pPr>
      <w:r>
        <w:t xml:space="preserve">A partir d’un milieu solide, prélever une quantité suffisante de culture et la mettre en suspension dans une goutte d’eau oxygénée déposée sur une </w:t>
      </w:r>
      <w:proofErr w:type="gramStart"/>
      <w:r>
        <w:t>lame .</w:t>
      </w:r>
      <w:proofErr w:type="gramEnd"/>
      <w:r>
        <w:t xml:space="preserve"> </w:t>
      </w:r>
    </w:p>
    <w:p w:rsidR="002C0665" w:rsidRDefault="002C0665" w:rsidP="002C0665">
      <w:pPr>
        <w:jc w:val="both"/>
      </w:pPr>
    </w:p>
    <w:p w:rsidR="002C0665" w:rsidRDefault="002C0665" w:rsidP="002C0665">
      <w:pPr>
        <w:jc w:val="both"/>
      </w:pPr>
    </w:p>
    <w:p w:rsidR="002C0665" w:rsidRDefault="002C0665" w:rsidP="002C0665">
      <w:pPr>
        <w:jc w:val="center"/>
      </w:pPr>
      <w:r>
        <w:rPr>
          <w:noProof/>
        </w:rPr>
        <w:drawing>
          <wp:inline distT="0" distB="0" distL="0" distR="0">
            <wp:extent cx="4638675" cy="1600200"/>
            <wp:effectExtent l="19050" t="0" r="9525" b="0"/>
            <wp:docPr id="3" name="Image 3" descr="Catal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talase"/>
                    <pic:cNvPicPr>
                      <a:picLocks noChangeAspect="1" noChangeArrowheads="1"/>
                    </pic:cNvPicPr>
                  </pic:nvPicPr>
                  <pic:blipFill>
                    <a:blip r:embed="rId7"/>
                    <a:srcRect t="30899" b="7594"/>
                    <a:stretch>
                      <a:fillRect/>
                    </a:stretch>
                  </pic:blipFill>
                  <pic:spPr bwMode="auto">
                    <a:xfrm>
                      <a:off x="0" y="0"/>
                      <a:ext cx="4638675" cy="1600200"/>
                    </a:xfrm>
                    <a:prstGeom prst="rect">
                      <a:avLst/>
                    </a:prstGeom>
                    <a:noFill/>
                    <a:ln w="9525">
                      <a:noFill/>
                      <a:miter lim="800000"/>
                      <a:headEnd/>
                      <a:tailEnd/>
                    </a:ln>
                  </pic:spPr>
                </pic:pic>
              </a:graphicData>
            </a:graphic>
          </wp:inline>
        </w:drawing>
      </w:r>
    </w:p>
    <w:p w:rsidR="002C0665" w:rsidRDefault="002C0665" w:rsidP="002C0665">
      <w:pPr>
        <w:jc w:val="center"/>
      </w:pPr>
    </w:p>
    <w:p w:rsidR="002C0665" w:rsidRDefault="002C0665" w:rsidP="002C0665">
      <w:pPr>
        <w:jc w:val="both"/>
      </w:pPr>
    </w:p>
    <w:p w:rsidR="002C0665" w:rsidRDefault="002C0665" w:rsidP="002C0665">
      <w:pPr>
        <w:jc w:val="both"/>
      </w:pPr>
      <w:r>
        <w:rPr>
          <w:b/>
          <w:bCs/>
        </w:rPr>
        <w:t>Une réaction positive</w:t>
      </w:r>
      <w:r>
        <w:t xml:space="preserve"> se traduit par un </w:t>
      </w:r>
      <w:r>
        <w:rPr>
          <w:b/>
          <w:bCs/>
        </w:rPr>
        <w:t>dégagement gazeux</w:t>
      </w:r>
      <w:r>
        <w:t xml:space="preserve"> (parfois </w:t>
      </w:r>
      <w:proofErr w:type="spellStart"/>
      <w:r>
        <w:t>trés</w:t>
      </w:r>
      <w:proofErr w:type="spellEnd"/>
      <w:r>
        <w:t xml:space="preserve"> faible) d’oxygène.</w:t>
      </w:r>
    </w:p>
    <w:p w:rsidR="002C0665" w:rsidRDefault="002C0665" w:rsidP="002C0665">
      <w:pPr>
        <w:jc w:val="both"/>
      </w:pPr>
    </w:p>
    <w:p w:rsidR="002C0665" w:rsidRDefault="002C0665" w:rsidP="002C0665">
      <w:pPr>
        <w:jc w:val="both"/>
      </w:pPr>
      <w:r>
        <w:t xml:space="preserve">Causes d’erreurs : réalisation du test sans précaution à partir d’une gélose au sang : le sang possède une activité </w:t>
      </w:r>
      <w:proofErr w:type="spellStart"/>
      <w:r>
        <w:t>catalasique</w:t>
      </w:r>
      <w:proofErr w:type="spellEnd"/>
      <w:r>
        <w:t>, suspension bactérienne insuffisante, eau oxygénée périmée,  souche « catalase faible »</w:t>
      </w:r>
    </w:p>
    <w:p w:rsidR="002C0665" w:rsidRDefault="002C0665" w:rsidP="002C0665">
      <w:pPr>
        <w:jc w:val="both"/>
      </w:pPr>
    </w:p>
    <w:p w:rsidR="002C0665" w:rsidRDefault="002C0665" w:rsidP="002C0665">
      <w:pPr>
        <w:jc w:val="both"/>
      </w:pPr>
    </w:p>
    <w:p w:rsidR="002C0665" w:rsidRDefault="002C0665" w:rsidP="002C0665">
      <w:pPr>
        <w:pStyle w:val="Titre1"/>
      </w:pPr>
      <w:r>
        <w:t>IV Recherche du métabolisme respiratoire</w:t>
      </w:r>
    </w:p>
    <w:p w:rsidR="002C0665" w:rsidRDefault="002C0665" w:rsidP="002C0665">
      <w:pPr>
        <w:jc w:val="both"/>
      </w:pPr>
    </w:p>
    <w:p w:rsidR="002C0665" w:rsidRDefault="002C0665" w:rsidP="002C0665">
      <w:pPr>
        <w:pStyle w:val="NormalWeb"/>
        <w:jc w:val="both"/>
        <w:rPr>
          <w:rFonts w:ascii="Times New Roman" w:hAnsi="Times New Roman" w:cs="Times New Roman"/>
          <w:sz w:val="20"/>
          <w:szCs w:val="20"/>
        </w:rPr>
      </w:pPr>
      <w:r>
        <w:rPr>
          <w:rFonts w:ascii="Times New Roman" w:hAnsi="Times New Roman" w:cs="Times New Roman"/>
          <w:sz w:val="20"/>
          <w:szCs w:val="20"/>
        </w:rPr>
        <w:t xml:space="preserve">Les bactéries </w:t>
      </w:r>
      <w:proofErr w:type="spellStart"/>
      <w:r>
        <w:rPr>
          <w:rFonts w:ascii="Times New Roman" w:hAnsi="Times New Roman" w:cs="Times New Roman"/>
          <w:sz w:val="20"/>
          <w:szCs w:val="20"/>
        </w:rPr>
        <w:t>chimiotrophes</w:t>
      </w:r>
      <w:proofErr w:type="spellEnd"/>
      <w:r>
        <w:rPr>
          <w:rFonts w:ascii="Times New Roman" w:hAnsi="Times New Roman" w:cs="Times New Roman"/>
          <w:sz w:val="20"/>
          <w:szCs w:val="20"/>
        </w:rPr>
        <w:t xml:space="preserve">, pour obtenir l'énergie nécessaire à leur croissance, peuvent utiliser 2 métabolismes différents pour dégrader le substrat: </w:t>
      </w:r>
    </w:p>
    <w:p w:rsidR="002C0665" w:rsidRDefault="002C0665" w:rsidP="002C0665">
      <w:pPr>
        <w:pStyle w:val="NormalWeb"/>
        <w:jc w:val="both"/>
        <w:rPr>
          <w:rFonts w:ascii="Times New Roman" w:hAnsi="Times New Roman" w:cs="Times New Roman"/>
          <w:sz w:val="20"/>
          <w:szCs w:val="20"/>
        </w:rPr>
      </w:pPr>
      <w:r>
        <w:rPr>
          <w:rFonts w:ascii="Times New Roman" w:hAnsi="Times New Roman" w:cs="Times New Roman"/>
          <w:sz w:val="20"/>
          <w:szCs w:val="20"/>
        </w:rPr>
        <w:t xml:space="preserve">    - Le </w:t>
      </w:r>
      <w:r>
        <w:rPr>
          <w:rFonts w:ascii="Times New Roman" w:hAnsi="Times New Roman" w:cs="Times New Roman"/>
          <w:b/>
          <w:bCs/>
          <w:sz w:val="20"/>
          <w:szCs w:val="20"/>
        </w:rPr>
        <w:t>métabolisme respiratoire</w:t>
      </w:r>
      <w:r>
        <w:rPr>
          <w:rFonts w:ascii="Times New Roman" w:hAnsi="Times New Roman" w:cs="Times New Roman"/>
          <w:sz w:val="20"/>
          <w:szCs w:val="20"/>
        </w:rPr>
        <w:t xml:space="preserve">, où les électrons libérés par l'oxydation du substrat, sont pris en charge par une chaîne transporteuse d'électrons (libératrice d'énergie) avant d'être fixés sur un </w:t>
      </w:r>
      <w:r>
        <w:rPr>
          <w:rFonts w:ascii="Times New Roman" w:hAnsi="Times New Roman" w:cs="Times New Roman"/>
          <w:b/>
          <w:bCs/>
          <w:sz w:val="20"/>
          <w:szCs w:val="20"/>
        </w:rPr>
        <w:t>accepteur final minéral</w:t>
      </w:r>
      <w:r>
        <w:rPr>
          <w:rFonts w:ascii="Times New Roman" w:hAnsi="Times New Roman" w:cs="Times New Roman"/>
          <w:sz w:val="20"/>
          <w:szCs w:val="20"/>
        </w:rPr>
        <w:t xml:space="preserve">. </w:t>
      </w:r>
      <w:r>
        <w:rPr>
          <w:rFonts w:ascii="Times New Roman" w:hAnsi="Times New Roman" w:cs="Times New Roman"/>
          <w:sz w:val="20"/>
          <w:szCs w:val="20"/>
        </w:rPr>
        <w:br/>
        <w:t>Si cet accepteur final est l'</w:t>
      </w:r>
      <w:r>
        <w:rPr>
          <w:rFonts w:ascii="Times New Roman" w:hAnsi="Times New Roman" w:cs="Times New Roman"/>
          <w:i/>
          <w:iCs/>
          <w:sz w:val="20"/>
          <w:szCs w:val="20"/>
        </w:rPr>
        <w:t>oxygène</w:t>
      </w:r>
      <w:r>
        <w:rPr>
          <w:rFonts w:ascii="Times New Roman" w:hAnsi="Times New Roman" w:cs="Times New Roman"/>
          <w:sz w:val="20"/>
          <w:szCs w:val="20"/>
        </w:rPr>
        <w:t xml:space="preserve">, on parle de </w:t>
      </w:r>
      <w:r>
        <w:rPr>
          <w:rFonts w:ascii="Times New Roman" w:hAnsi="Times New Roman" w:cs="Times New Roman"/>
          <w:i/>
          <w:iCs/>
          <w:sz w:val="20"/>
          <w:szCs w:val="20"/>
        </w:rPr>
        <w:t>respiration aérobie (</w:t>
      </w:r>
      <w:r>
        <w:rPr>
          <w:rFonts w:ascii="Times New Roman" w:hAnsi="Times New Roman" w:cs="Times New Roman"/>
          <w:sz w:val="20"/>
          <w:szCs w:val="20"/>
        </w:rPr>
        <w:t>cytochrome</w:t>
      </w:r>
      <w:r>
        <w:rPr>
          <w:rFonts w:ascii="Times New Roman" w:hAnsi="Times New Roman" w:cs="Times New Roman"/>
          <w:i/>
          <w:iCs/>
          <w:sz w:val="20"/>
          <w:szCs w:val="20"/>
        </w:rPr>
        <w:t>)</w:t>
      </w:r>
      <w:r>
        <w:rPr>
          <w:rFonts w:ascii="Times New Roman" w:hAnsi="Times New Roman" w:cs="Times New Roman"/>
          <w:sz w:val="20"/>
          <w:szCs w:val="20"/>
        </w:rPr>
        <w:t xml:space="preserve"> tandis que si il s'agit d'un </w:t>
      </w:r>
      <w:r>
        <w:rPr>
          <w:rFonts w:ascii="Times New Roman" w:hAnsi="Times New Roman" w:cs="Times New Roman"/>
          <w:i/>
          <w:iCs/>
          <w:sz w:val="20"/>
          <w:szCs w:val="20"/>
        </w:rPr>
        <w:t>ion minéral</w:t>
      </w:r>
      <w:r>
        <w:rPr>
          <w:rFonts w:ascii="Times New Roman" w:hAnsi="Times New Roman" w:cs="Times New Roman"/>
          <w:sz w:val="20"/>
          <w:szCs w:val="20"/>
        </w:rPr>
        <w:t xml:space="preserve">  </w:t>
      </w:r>
      <w:proofErr w:type="gramStart"/>
      <w:r>
        <w:rPr>
          <w:rFonts w:ascii="Times New Roman" w:hAnsi="Times New Roman" w:cs="Times New Roman"/>
          <w:sz w:val="20"/>
          <w:szCs w:val="20"/>
        </w:rPr>
        <w:t>( NO</w:t>
      </w:r>
      <w:r>
        <w:rPr>
          <w:rFonts w:ascii="Times New Roman" w:hAnsi="Times New Roman" w:cs="Times New Roman"/>
          <w:sz w:val="20"/>
          <w:szCs w:val="20"/>
          <w:vertAlign w:val="subscript"/>
        </w:rPr>
        <w:t>3</w:t>
      </w:r>
      <w:proofErr w:type="gramEnd"/>
      <w:r>
        <w:rPr>
          <w:rFonts w:ascii="Times New Roman" w:hAnsi="Times New Roman" w:cs="Times New Roman"/>
          <w:sz w:val="20"/>
          <w:szCs w:val="20"/>
          <w:vertAlign w:val="superscript"/>
        </w:rPr>
        <w:t>-</w:t>
      </w:r>
      <w:r>
        <w:rPr>
          <w:rFonts w:ascii="Times New Roman" w:hAnsi="Times New Roman" w:cs="Times New Roman"/>
          <w:sz w:val="20"/>
          <w:szCs w:val="20"/>
        </w:rPr>
        <w:t>, NO</w:t>
      </w:r>
      <w:r>
        <w:rPr>
          <w:rFonts w:ascii="Times New Roman" w:hAnsi="Times New Roman" w:cs="Times New Roman"/>
          <w:sz w:val="20"/>
          <w:szCs w:val="20"/>
          <w:vertAlign w:val="subscript"/>
        </w:rPr>
        <w:t>2</w:t>
      </w:r>
      <w:r>
        <w:rPr>
          <w:rFonts w:ascii="Times New Roman" w:hAnsi="Times New Roman" w:cs="Times New Roman"/>
          <w:sz w:val="20"/>
          <w:szCs w:val="20"/>
          <w:vertAlign w:val="superscript"/>
        </w:rPr>
        <w:t>-</w:t>
      </w:r>
      <w:r>
        <w:rPr>
          <w:rFonts w:ascii="Times New Roman" w:hAnsi="Times New Roman" w:cs="Times New Roman"/>
          <w:sz w:val="20"/>
          <w:szCs w:val="20"/>
        </w:rPr>
        <w:t>, SO</w:t>
      </w:r>
      <w:r>
        <w:rPr>
          <w:rFonts w:ascii="Times New Roman" w:hAnsi="Times New Roman" w:cs="Times New Roman"/>
          <w:sz w:val="20"/>
          <w:szCs w:val="20"/>
          <w:vertAlign w:val="subscript"/>
        </w:rPr>
        <w:t>4</w:t>
      </w:r>
      <w:r>
        <w:rPr>
          <w:rFonts w:ascii="Times New Roman" w:hAnsi="Times New Roman" w:cs="Times New Roman"/>
          <w:sz w:val="20"/>
          <w:szCs w:val="20"/>
          <w:vertAlign w:val="superscript"/>
        </w:rPr>
        <w:t>2-</w:t>
      </w:r>
      <w:r>
        <w:rPr>
          <w:rFonts w:ascii="Times New Roman" w:hAnsi="Times New Roman" w:cs="Times New Roman"/>
          <w:sz w:val="20"/>
          <w:szCs w:val="20"/>
        </w:rPr>
        <w:t>), la respiration est qualifiée d'</w:t>
      </w:r>
      <w:r>
        <w:rPr>
          <w:rFonts w:ascii="Times New Roman" w:hAnsi="Times New Roman" w:cs="Times New Roman"/>
          <w:i/>
          <w:iCs/>
          <w:sz w:val="20"/>
          <w:szCs w:val="20"/>
        </w:rPr>
        <w:t xml:space="preserve">anaérobie </w:t>
      </w:r>
      <w:r>
        <w:rPr>
          <w:rFonts w:ascii="Times New Roman" w:hAnsi="Times New Roman" w:cs="Times New Roman"/>
          <w:sz w:val="20"/>
          <w:szCs w:val="20"/>
        </w:rPr>
        <w:t>(quinones)</w:t>
      </w:r>
      <w:r>
        <w:rPr>
          <w:rFonts w:ascii="Times New Roman" w:hAnsi="Times New Roman" w:cs="Times New Roman"/>
          <w:i/>
          <w:iCs/>
          <w:sz w:val="20"/>
          <w:szCs w:val="20"/>
        </w:rPr>
        <w:t>.</w:t>
      </w:r>
      <w:r>
        <w:rPr>
          <w:rFonts w:ascii="Times New Roman" w:hAnsi="Times New Roman" w:cs="Times New Roman"/>
          <w:sz w:val="20"/>
          <w:szCs w:val="20"/>
        </w:rPr>
        <w:t xml:space="preserve"> </w:t>
      </w:r>
    </w:p>
    <w:p w:rsidR="002C0665" w:rsidRDefault="002C0665" w:rsidP="002C0665">
      <w:pPr>
        <w:pStyle w:val="NormalWeb"/>
        <w:jc w:val="center"/>
        <w:rPr>
          <w:rFonts w:ascii="Times New Roman" w:hAnsi="Times New Roman" w:cs="Times New Roman"/>
          <w:sz w:val="20"/>
          <w:szCs w:val="20"/>
        </w:rPr>
      </w:pPr>
    </w:p>
    <w:p w:rsidR="002C0665" w:rsidRDefault="002C0665" w:rsidP="002C0665">
      <w:pPr>
        <w:pStyle w:val="NormalWeb"/>
        <w:jc w:val="center"/>
        <w:rPr>
          <w:rFonts w:ascii="Times New Roman" w:hAnsi="Times New Roman" w:cs="Times New Roman"/>
          <w:sz w:val="20"/>
          <w:szCs w:val="20"/>
        </w:rPr>
      </w:pPr>
      <w:r>
        <w:rPr>
          <w:rFonts w:ascii="Times New Roman" w:hAnsi="Times New Roman" w:cs="Times New Roman"/>
          <w:noProof/>
          <w:sz w:val="20"/>
          <w:szCs w:val="20"/>
        </w:rPr>
        <w:lastRenderedPageBreak/>
        <w:drawing>
          <wp:inline distT="0" distB="0" distL="0" distR="0">
            <wp:extent cx="2505075" cy="2314575"/>
            <wp:effectExtent l="19050" t="0" r="9525" b="0"/>
            <wp:docPr id="4" name="Image 4" descr="respi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spiration"/>
                    <pic:cNvPicPr>
                      <a:picLocks noChangeAspect="1" noChangeArrowheads="1"/>
                    </pic:cNvPicPr>
                  </pic:nvPicPr>
                  <pic:blipFill>
                    <a:blip r:embed="rId8"/>
                    <a:srcRect/>
                    <a:stretch>
                      <a:fillRect/>
                    </a:stretch>
                  </pic:blipFill>
                  <pic:spPr bwMode="auto">
                    <a:xfrm>
                      <a:off x="0" y="0"/>
                      <a:ext cx="2505075" cy="2314575"/>
                    </a:xfrm>
                    <a:prstGeom prst="rect">
                      <a:avLst/>
                    </a:prstGeom>
                    <a:noFill/>
                    <a:ln w="9525">
                      <a:noFill/>
                      <a:miter lim="800000"/>
                      <a:headEnd/>
                      <a:tailEnd/>
                    </a:ln>
                  </pic:spPr>
                </pic:pic>
              </a:graphicData>
            </a:graphic>
          </wp:inline>
        </w:drawing>
      </w:r>
    </w:p>
    <w:p w:rsidR="002C0665" w:rsidRDefault="002C0665" w:rsidP="002C0665">
      <w:pPr>
        <w:pStyle w:val="NormalWeb"/>
        <w:jc w:val="center"/>
        <w:rPr>
          <w:rFonts w:ascii="Times New Roman" w:hAnsi="Times New Roman" w:cs="Times New Roman"/>
          <w:sz w:val="20"/>
          <w:szCs w:val="20"/>
        </w:rPr>
      </w:pPr>
    </w:p>
    <w:p w:rsidR="002C0665" w:rsidRDefault="002C0665" w:rsidP="002C0665">
      <w:pPr>
        <w:pStyle w:val="NormalWeb"/>
        <w:jc w:val="both"/>
        <w:rPr>
          <w:rFonts w:ascii="Times New Roman" w:hAnsi="Times New Roman" w:cs="Times New Roman"/>
          <w:sz w:val="20"/>
          <w:szCs w:val="20"/>
        </w:rPr>
      </w:pPr>
      <w:r>
        <w:rPr>
          <w:rFonts w:ascii="Times New Roman" w:hAnsi="Times New Roman" w:cs="Times New Roman"/>
          <w:b/>
          <w:bCs/>
          <w:sz w:val="20"/>
          <w:szCs w:val="20"/>
        </w:rPr>
        <w:t xml:space="preserve">    </w:t>
      </w:r>
      <w:r>
        <w:rPr>
          <w:rFonts w:ascii="Times New Roman" w:hAnsi="Times New Roman" w:cs="Times New Roman"/>
          <w:sz w:val="20"/>
          <w:szCs w:val="20"/>
        </w:rPr>
        <w:t xml:space="preserve">- Le </w:t>
      </w:r>
      <w:r>
        <w:rPr>
          <w:rFonts w:ascii="Times New Roman" w:hAnsi="Times New Roman" w:cs="Times New Roman"/>
          <w:b/>
          <w:bCs/>
          <w:sz w:val="20"/>
          <w:szCs w:val="20"/>
        </w:rPr>
        <w:t>métabolisme fermentatif</w:t>
      </w:r>
      <w:r>
        <w:rPr>
          <w:rFonts w:ascii="Times New Roman" w:hAnsi="Times New Roman" w:cs="Times New Roman"/>
          <w:sz w:val="20"/>
          <w:szCs w:val="20"/>
        </w:rPr>
        <w:t xml:space="preserve"> où il n'existe pas de chaîne de transporteurs et où les électrons sont directement fixés sur un </w:t>
      </w:r>
      <w:r>
        <w:rPr>
          <w:rFonts w:ascii="Times New Roman" w:hAnsi="Times New Roman" w:cs="Times New Roman"/>
          <w:b/>
          <w:bCs/>
          <w:sz w:val="20"/>
          <w:szCs w:val="20"/>
        </w:rPr>
        <w:t>accepteur final organique</w:t>
      </w:r>
      <w:r>
        <w:rPr>
          <w:rFonts w:ascii="Times New Roman" w:hAnsi="Times New Roman" w:cs="Times New Roman"/>
          <w:sz w:val="20"/>
          <w:szCs w:val="20"/>
        </w:rPr>
        <w:t xml:space="preserve">. </w:t>
      </w:r>
    </w:p>
    <w:p w:rsidR="002C0665" w:rsidRDefault="002C0665" w:rsidP="002C0665">
      <w:pPr>
        <w:pStyle w:val="NormalWeb"/>
        <w:jc w:val="center"/>
        <w:rPr>
          <w:rFonts w:ascii="Times New Roman" w:hAnsi="Times New Roman" w:cs="Times New Roman"/>
          <w:sz w:val="20"/>
          <w:szCs w:val="20"/>
        </w:rPr>
      </w:pPr>
      <w:r>
        <w:rPr>
          <w:rFonts w:ascii="Times New Roman" w:hAnsi="Times New Roman" w:cs="Times New Roman"/>
          <w:noProof/>
          <w:sz w:val="20"/>
          <w:szCs w:val="20"/>
        </w:rPr>
        <w:pict>
          <v:shapetype id="_x0000_t202" coordsize="21600,21600" o:spt="202" path="m,l,21600r21600,l21600,xe">
            <v:stroke joinstyle="miter"/>
            <v:path gradientshapeok="t" o:connecttype="rect"/>
          </v:shapetype>
          <v:shape id="_x0000_s1027" type="#_x0000_t202" style="position:absolute;left:0;text-align:left;margin-left:351.75pt;margin-top:131.9pt;width:1in;height:45pt;z-index:251661312" stroked="f">
            <v:textbox>
              <w:txbxContent>
                <w:p w:rsidR="002C0665" w:rsidRDefault="002C0665" w:rsidP="002C0665">
                  <w:pPr>
                    <w:jc w:val="center"/>
                  </w:pPr>
                  <w:r>
                    <w:t>Accepteur</w:t>
                  </w:r>
                </w:p>
                <w:p w:rsidR="002C0665" w:rsidRDefault="002C0665" w:rsidP="002C0665">
                  <w:pPr>
                    <w:jc w:val="center"/>
                  </w:pPr>
                  <w:r>
                    <w:t>Organique</w:t>
                  </w:r>
                </w:p>
                <w:p w:rsidR="002C0665" w:rsidRDefault="002C0665" w:rsidP="002C0665">
                  <w:pPr>
                    <w:jc w:val="center"/>
                  </w:pPr>
                  <w:proofErr w:type="gramStart"/>
                  <w:r>
                    <w:t>réduit</w:t>
                  </w:r>
                  <w:proofErr w:type="gramEnd"/>
                </w:p>
              </w:txbxContent>
            </v:textbox>
          </v:shape>
        </w:pict>
      </w:r>
      <w:r>
        <w:rPr>
          <w:rFonts w:ascii="Times New Roman" w:hAnsi="Times New Roman" w:cs="Times New Roman"/>
          <w:noProof/>
          <w:sz w:val="20"/>
          <w:szCs w:val="20"/>
        </w:rPr>
        <w:pict>
          <v:shape id="_x0000_s1026" type="#_x0000_t202" style="position:absolute;left:0;text-align:left;margin-left:135.75pt;margin-top:131.9pt;width:63pt;height:45pt;z-index:251660288" stroked="f">
            <v:textbox style="mso-next-textbox:#_x0000_s1026">
              <w:txbxContent>
                <w:p w:rsidR="002C0665" w:rsidRDefault="002C0665" w:rsidP="002C0665">
                  <w:pPr>
                    <w:jc w:val="center"/>
                  </w:pPr>
                  <w:r>
                    <w:t>Accepteur</w:t>
                  </w:r>
                </w:p>
                <w:p w:rsidR="002C0665" w:rsidRDefault="002C0665" w:rsidP="002C0665">
                  <w:pPr>
                    <w:jc w:val="center"/>
                  </w:pPr>
                  <w:r>
                    <w:t>Organique</w:t>
                  </w:r>
                </w:p>
                <w:p w:rsidR="002C0665" w:rsidRDefault="002C0665" w:rsidP="002C0665">
                  <w:pPr>
                    <w:jc w:val="center"/>
                  </w:pPr>
                  <w:proofErr w:type="gramStart"/>
                  <w:r>
                    <w:t>oxydé</w:t>
                  </w:r>
                  <w:proofErr w:type="gramEnd"/>
                </w:p>
              </w:txbxContent>
            </v:textbox>
          </v:shape>
        </w:pict>
      </w:r>
      <w:r>
        <w:rPr>
          <w:rFonts w:ascii="Times New Roman" w:hAnsi="Times New Roman" w:cs="Times New Roman"/>
          <w:noProof/>
          <w:sz w:val="20"/>
          <w:szCs w:val="20"/>
        </w:rPr>
        <w:drawing>
          <wp:inline distT="0" distB="0" distL="0" distR="0">
            <wp:extent cx="3076575" cy="2238375"/>
            <wp:effectExtent l="19050" t="0" r="9525" b="0"/>
            <wp:docPr id="5" name="Image 5" descr="fermen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ermentation"/>
                    <pic:cNvPicPr>
                      <a:picLocks noChangeAspect="1" noChangeArrowheads="1"/>
                    </pic:cNvPicPr>
                  </pic:nvPicPr>
                  <pic:blipFill>
                    <a:blip r:embed="rId9"/>
                    <a:srcRect/>
                    <a:stretch>
                      <a:fillRect/>
                    </a:stretch>
                  </pic:blipFill>
                  <pic:spPr bwMode="auto">
                    <a:xfrm>
                      <a:off x="0" y="0"/>
                      <a:ext cx="3076575" cy="2238375"/>
                    </a:xfrm>
                    <a:prstGeom prst="rect">
                      <a:avLst/>
                    </a:prstGeom>
                    <a:noFill/>
                    <a:ln w="9525">
                      <a:noFill/>
                      <a:miter lim="800000"/>
                      <a:headEnd/>
                      <a:tailEnd/>
                    </a:ln>
                  </pic:spPr>
                </pic:pic>
              </a:graphicData>
            </a:graphic>
          </wp:inline>
        </w:drawing>
      </w:r>
    </w:p>
    <w:p w:rsidR="002C0665" w:rsidRDefault="002C0665" w:rsidP="002C0665">
      <w:pPr>
        <w:pStyle w:val="NormalWeb"/>
        <w:jc w:val="both"/>
        <w:rPr>
          <w:rFonts w:ascii="Times New Roman" w:hAnsi="Times New Roman" w:cs="Times New Roman"/>
          <w:sz w:val="20"/>
          <w:szCs w:val="20"/>
        </w:rPr>
      </w:pPr>
      <w:r>
        <w:rPr>
          <w:rFonts w:ascii="Times New Roman" w:hAnsi="Times New Roman" w:cs="Times New Roman"/>
          <w:sz w:val="20"/>
          <w:szCs w:val="20"/>
        </w:rPr>
        <w:t xml:space="preserve">Respirations et fermentations ne sont pas contradictoires: une bactérie peut avoir un métabolisme oxydatif en aérobiose et fermentatif en anaérobiose. </w:t>
      </w:r>
    </w:p>
    <w:p w:rsidR="002C0665" w:rsidRDefault="002C0665" w:rsidP="002C0665">
      <w:pPr>
        <w:pStyle w:val="NormalWeb"/>
        <w:jc w:val="both"/>
        <w:rPr>
          <w:rFonts w:ascii="Times New Roman" w:hAnsi="Times New Roman" w:cs="Times New Roman"/>
          <w:sz w:val="20"/>
          <w:szCs w:val="20"/>
        </w:rPr>
      </w:pPr>
      <w:r>
        <w:rPr>
          <w:rFonts w:ascii="Times New Roman" w:hAnsi="Times New Roman" w:cs="Times New Roman"/>
          <w:sz w:val="20"/>
          <w:szCs w:val="20"/>
        </w:rPr>
        <w:t xml:space="preserve">Le test O/F permet de connaître le comportement de la bactérie étudiée vis-à-vis du </w:t>
      </w:r>
      <w:r>
        <w:rPr>
          <w:rFonts w:ascii="Times New Roman" w:hAnsi="Times New Roman" w:cs="Times New Roman"/>
          <w:b/>
          <w:bCs/>
          <w:sz w:val="20"/>
          <w:szCs w:val="20"/>
        </w:rPr>
        <w:t>glucose</w:t>
      </w:r>
      <w:r>
        <w:rPr>
          <w:rFonts w:ascii="Times New Roman" w:hAnsi="Times New Roman" w:cs="Times New Roman"/>
          <w:sz w:val="20"/>
          <w:szCs w:val="20"/>
        </w:rPr>
        <w:t xml:space="preserve"> en présence ou absence d'oxygène. </w:t>
      </w:r>
    </w:p>
    <w:p w:rsidR="002C0665" w:rsidRDefault="002C0665" w:rsidP="002C0665">
      <w:pPr>
        <w:pStyle w:val="NormalWeb"/>
        <w:jc w:val="both"/>
        <w:rPr>
          <w:rFonts w:ascii="Times New Roman" w:hAnsi="Times New Roman" w:cs="Times New Roman"/>
          <w:sz w:val="20"/>
          <w:szCs w:val="20"/>
        </w:rPr>
      </w:pPr>
      <w:r w:rsidRPr="00EA7D92">
        <w:rPr>
          <w:rFonts w:ascii="Times New Roman" w:hAnsi="Times New Roman" w:cs="Times New Roman"/>
          <w:b/>
          <w:bCs/>
          <w:u w:val="single"/>
        </w:rPr>
        <w:t>Le milieu utilisé ne contenant aucun accepteur final minéral, on ne teste que la respiration aérobie et les fermentations.</w:t>
      </w:r>
      <w:r>
        <w:rPr>
          <w:rFonts w:ascii="Times New Roman" w:hAnsi="Times New Roman" w:cs="Times New Roman"/>
          <w:sz w:val="20"/>
          <w:szCs w:val="20"/>
        </w:rPr>
        <w:t xml:space="preserve"> </w:t>
      </w:r>
    </w:p>
    <w:p w:rsidR="002C0665" w:rsidRDefault="002C0665" w:rsidP="002C0665">
      <w:pPr>
        <w:pStyle w:val="NormalWeb"/>
        <w:jc w:val="center"/>
        <w:rPr>
          <w:rFonts w:ascii="Times New Roman" w:hAnsi="Times New Roman" w:cs="Times New Roman"/>
          <w:sz w:val="20"/>
          <w:szCs w:val="20"/>
        </w:rPr>
      </w:pPr>
      <w:r>
        <w:rPr>
          <w:rFonts w:ascii="Times New Roman" w:hAnsi="Times New Roman" w:cs="Times New Roman"/>
          <w:sz w:val="20"/>
          <w:szCs w:val="20"/>
        </w:rPr>
        <w:t>Respiration aérobie    C</w:t>
      </w:r>
      <w:r>
        <w:rPr>
          <w:rFonts w:ascii="Times New Roman" w:hAnsi="Times New Roman" w:cs="Times New Roman"/>
          <w:sz w:val="20"/>
          <w:szCs w:val="20"/>
          <w:vertAlign w:val="subscript"/>
        </w:rPr>
        <w:t>6</w:t>
      </w:r>
      <w:r>
        <w:rPr>
          <w:rFonts w:ascii="Times New Roman" w:hAnsi="Times New Roman" w:cs="Times New Roman"/>
          <w:sz w:val="20"/>
          <w:szCs w:val="20"/>
        </w:rPr>
        <w:t>H</w:t>
      </w:r>
      <w:r>
        <w:rPr>
          <w:rFonts w:ascii="Times New Roman" w:hAnsi="Times New Roman" w:cs="Times New Roman"/>
          <w:sz w:val="20"/>
          <w:szCs w:val="20"/>
          <w:vertAlign w:val="subscript"/>
        </w:rPr>
        <w:t>12</w:t>
      </w:r>
      <w:r>
        <w:rPr>
          <w:rFonts w:ascii="Times New Roman" w:hAnsi="Times New Roman" w:cs="Times New Roman"/>
          <w:sz w:val="20"/>
          <w:szCs w:val="20"/>
        </w:rPr>
        <w:t>O</w:t>
      </w:r>
      <w:r>
        <w:rPr>
          <w:rFonts w:ascii="Times New Roman" w:hAnsi="Times New Roman" w:cs="Times New Roman"/>
          <w:sz w:val="20"/>
          <w:szCs w:val="20"/>
          <w:vertAlign w:val="subscript"/>
        </w:rPr>
        <w:t>6</w:t>
      </w:r>
      <w:r>
        <w:rPr>
          <w:rFonts w:ascii="Times New Roman" w:hAnsi="Times New Roman" w:cs="Times New Roman"/>
          <w:sz w:val="20"/>
          <w:szCs w:val="20"/>
        </w:rPr>
        <w:t>  +  6 O</w:t>
      </w:r>
      <w:r>
        <w:rPr>
          <w:rFonts w:ascii="Times New Roman" w:hAnsi="Times New Roman" w:cs="Times New Roman"/>
          <w:sz w:val="20"/>
          <w:szCs w:val="20"/>
          <w:vertAlign w:val="subscript"/>
        </w:rPr>
        <w:t>2</w:t>
      </w:r>
      <w:r>
        <w:rPr>
          <w:rFonts w:ascii="Times New Roman" w:hAnsi="Times New Roman" w:cs="Times New Roman"/>
          <w:sz w:val="20"/>
          <w:szCs w:val="20"/>
        </w:rPr>
        <w:t xml:space="preserve"> -----------&gt; 6 CO</w:t>
      </w:r>
      <w:r>
        <w:rPr>
          <w:rFonts w:ascii="Times New Roman" w:hAnsi="Times New Roman" w:cs="Times New Roman"/>
          <w:sz w:val="20"/>
          <w:szCs w:val="20"/>
          <w:vertAlign w:val="subscript"/>
        </w:rPr>
        <w:t>2</w:t>
      </w:r>
      <w:r>
        <w:rPr>
          <w:rFonts w:ascii="Times New Roman" w:hAnsi="Times New Roman" w:cs="Times New Roman"/>
          <w:sz w:val="20"/>
          <w:szCs w:val="20"/>
        </w:rPr>
        <w:t>  +  6 H</w:t>
      </w:r>
      <w:r>
        <w:rPr>
          <w:rFonts w:ascii="Times New Roman" w:hAnsi="Times New Roman" w:cs="Times New Roman"/>
          <w:sz w:val="20"/>
          <w:szCs w:val="20"/>
          <w:vertAlign w:val="subscript"/>
        </w:rPr>
        <w:t>2</w:t>
      </w:r>
      <w:r>
        <w:rPr>
          <w:rFonts w:ascii="Times New Roman" w:hAnsi="Times New Roman" w:cs="Times New Roman"/>
          <w:sz w:val="20"/>
          <w:szCs w:val="20"/>
        </w:rPr>
        <w:t>O</w:t>
      </w:r>
    </w:p>
    <w:p w:rsidR="002C0665" w:rsidRDefault="002C0665" w:rsidP="002C0665">
      <w:pPr>
        <w:pStyle w:val="NormalWeb"/>
        <w:jc w:val="center"/>
        <w:rPr>
          <w:rFonts w:ascii="Times New Roman" w:hAnsi="Times New Roman" w:cs="Times New Roman"/>
          <w:sz w:val="20"/>
          <w:szCs w:val="20"/>
        </w:rPr>
      </w:pPr>
      <w:r>
        <w:rPr>
          <w:rFonts w:ascii="Times New Roman" w:hAnsi="Times New Roman" w:cs="Times New Roman"/>
          <w:sz w:val="20"/>
          <w:szCs w:val="20"/>
        </w:rPr>
        <w:t>Fermentation lactique   C</w:t>
      </w:r>
      <w:r>
        <w:rPr>
          <w:rFonts w:ascii="Times New Roman" w:hAnsi="Times New Roman" w:cs="Times New Roman"/>
          <w:sz w:val="20"/>
          <w:szCs w:val="20"/>
          <w:vertAlign w:val="subscript"/>
        </w:rPr>
        <w:t>6</w:t>
      </w:r>
      <w:r>
        <w:rPr>
          <w:rFonts w:ascii="Times New Roman" w:hAnsi="Times New Roman" w:cs="Times New Roman"/>
          <w:sz w:val="20"/>
          <w:szCs w:val="20"/>
        </w:rPr>
        <w:t>H</w:t>
      </w:r>
      <w:r>
        <w:rPr>
          <w:rFonts w:ascii="Times New Roman" w:hAnsi="Times New Roman" w:cs="Times New Roman"/>
          <w:sz w:val="20"/>
          <w:szCs w:val="20"/>
          <w:vertAlign w:val="subscript"/>
        </w:rPr>
        <w:t>12</w:t>
      </w:r>
      <w:r>
        <w:rPr>
          <w:rFonts w:ascii="Times New Roman" w:hAnsi="Times New Roman" w:cs="Times New Roman"/>
          <w:sz w:val="20"/>
          <w:szCs w:val="20"/>
        </w:rPr>
        <w:t>O</w:t>
      </w:r>
      <w:r>
        <w:rPr>
          <w:rFonts w:ascii="Times New Roman" w:hAnsi="Times New Roman" w:cs="Times New Roman"/>
          <w:sz w:val="20"/>
          <w:szCs w:val="20"/>
          <w:vertAlign w:val="subscript"/>
        </w:rPr>
        <w:t>6</w:t>
      </w:r>
      <w:r>
        <w:rPr>
          <w:rFonts w:ascii="Times New Roman" w:hAnsi="Times New Roman" w:cs="Times New Roman"/>
          <w:sz w:val="20"/>
          <w:szCs w:val="20"/>
        </w:rPr>
        <w:t xml:space="preserve"> -------------&gt;    2 C</w:t>
      </w:r>
      <w:r>
        <w:rPr>
          <w:rFonts w:ascii="Times New Roman" w:hAnsi="Times New Roman" w:cs="Times New Roman"/>
          <w:sz w:val="20"/>
          <w:szCs w:val="20"/>
          <w:vertAlign w:val="subscript"/>
        </w:rPr>
        <w:t>3</w:t>
      </w:r>
      <w:r>
        <w:rPr>
          <w:rFonts w:ascii="Times New Roman" w:hAnsi="Times New Roman" w:cs="Times New Roman"/>
          <w:sz w:val="20"/>
          <w:szCs w:val="20"/>
        </w:rPr>
        <w:t>H</w:t>
      </w:r>
      <w:r>
        <w:rPr>
          <w:rFonts w:ascii="Times New Roman" w:hAnsi="Times New Roman" w:cs="Times New Roman"/>
          <w:sz w:val="20"/>
          <w:szCs w:val="20"/>
          <w:vertAlign w:val="subscript"/>
        </w:rPr>
        <w:t>3</w:t>
      </w:r>
      <w:r>
        <w:rPr>
          <w:rFonts w:ascii="Times New Roman" w:hAnsi="Times New Roman" w:cs="Times New Roman"/>
          <w:sz w:val="20"/>
          <w:szCs w:val="20"/>
        </w:rPr>
        <w:t>O</w:t>
      </w:r>
      <w:r>
        <w:rPr>
          <w:rFonts w:ascii="Times New Roman" w:hAnsi="Times New Roman" w:cs="Times New Roman"/>
          <w:sz w:val="20"/>
          <w:szCs w:val="20"/>
          <w:vertAlign w:val="subscript"/>
        </w:rPr>
        <w:t>3</w:t>
      </w:r>
      <w:r>
        <w:rPr>
          <w:rFonts w:ascii="Times New Roman" w:hAnsi="Times New Roman" w:cs="Times New Roman"/>
          <w:sz w:val="20"/>
          <w:szCs w:val="20"/>
        </w:rPr>
        <w:t>  +  6 H</w:t>
      </w:r>
      <w:r>
        <w:rPr>
          <w:rFonts w:ascii="Times New Roman" w:hAnsi="Times New Roman" w:cs="Times New Roman"/>
          <w:sz w:val="20"/>
          <w:szCs w:val="20"/>
          <w:vertAlign w:val="superscript"/>
        </w:rPr>
        <w:t>+</w:t>
      </w:r>
    </w:p>
    <w:p w:rsidR="002C0665" w:rsidRDefault="002C0665" w:rsidP="002C0665">
      <w:pPr>
        <w:pStyle w:val="NormalWeb"/>
        <w:jc w:val="both"/>
        <w:rPr>
          <w:rFonts w:ascii="Times New Roman" w:hAnsi="Times New Roman" w:cs="Times New Roman"/>
          <w:sz w:val="20"/>
          <w:szCs w:val="20"/>
        </w:rPr>
      </w:pPr>
      <w:r>
        <w:rPr>
          <w:rFonts w:ascii="Times New Roman" w:hAnsi="Times New Roman" w:cs="Times New Roman"/>
          <w:sz w:val="20"/>
          <w:szCs w:val="20"/>
        </w:rPr>
        <w:t>Or le CO</w:t>
      </w:r>
      <w:r>
        <w:rPr>
          <w:rFonts w:ascii="Times New Roman" w:hAnsi="Times New Roman" w:cs="Times New Roman"/>
          <w:sz w:val="20"/>
          <w:szCs w:val="20"/>
          <w:vertAlign w:val="subscript"/>
        </w:rPr>
        <w:t>2</w:t>
      </w:r>
      <w:r>
        <w:rPr>
          <w:rFonts w:ascii="Times New Roman" w:hAnsi="Times New Roman" w:cs="Times New Roman"/>
          <w:sz w:val="20"/>
          <w:szCs w:val="20"/>
        </w:rPr>
        <w:t xml:space="preserve"> et le pyruvate sont des acides. On peut donc les mettre en évidence par le virage d'un indicateur de pH (ici le Bleu de </w:t>
      </w:r>
      <w:proofErr w:type="spellStart"/>
      <w:r>
        <w:rPr>
          <w:rFonts w:ascii="Times New Roman" w:hAnsi="Times New Roman" w:cs="Times New Roman"/>
          <w:sz w:val="20"/>
          <w:szCs w:val="20"/>
        </w:rPr>
        <w:t>bromothymol</w:t>
      </w:r>
      <w:proofErr w:type="spellEnd"/>
      <w:r>
        <w:rPr>
          <w:rFonts w:ascii="Times New Roman" w:hAnsi="Times New Roman" w:cs="Times New Roman"/>
          <w:sz w:val="20"/>
          <w:szCs w:val="20"/>
        </w:rPr>
        <w:t xml:space="preserve"> ou BBT). </w:t>
      </w:r>
    </w:p>
    <w:p w:rsidR="002C0665" w:rsidRDefault="002C0665" w:rsidP="002C0665">
      <w:pPr>
        <w:pStyle w:val="NormalWeb"/>
        <w:jc w:val="both"/>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i/>
          <w:iCs/>
          <w:sz w:val="20"/>
          <w:szCs w:val="20"/>
          <w:u w:val="single"/>
        </w:rPr>
        <w:t>Lecture et interprétation</w:t>
      </w:r>
      <w:r>
        <w:rPr>
          <w:rFonts w:ascii="Times New Roman" w:hAnsi="Times New Roman" w:cs="Times New Roman"/>
          <w:sz w:val="20"/>
          <w:szCs w:val="20"/>
        </w:rPr>
        <w:t xml:space="preserve"> </w:t>
      </w:r>
    </w:p>
    <w:p w:rsidR="002C0665" w:rsidRDefault="002C0665" w:rsidP="002C0665">
      <w:pPr>
        <w:pStyle w:val="NormalWeb"/>
        <w:jc w:val="center"/>
        <w:rPr>
          <w:rFonts w:ascii="Times New Roman" w:hAnsi="Times New Roman" w:cs="Times New Roman"/>
          <w:sz w:val="20"/>
          <w:szCs w:val="20"/>
        </w:rPr>
      </w:pPr>
      <w:r>
        <w:rPr>
          <w:rFonts w:ascii="Times New Roman" w:hAnsi="Times New Roman" w:cs="Times New Roman"/>
          <w:sz w:val="20"/>
          <w:szCs w:val="20"/>
        </w:rPr>
        <w:lastRenderedPageBreak/>
        <w:br/>
      </w:r>
      <w:r>
        <w:rPr>
          <w:rFonts w:ascii="Times New Roman" w:hAnsi="Times New Roman" w:cs="Times New Roman"/>
          <w:noProof/>
          <w:sz w:val="20"/>
          <w:szCs w:val="20"/>
        </w:rPr>
        <w:drawing>
          <wp:inline distT="0" distB="0" distL="0" distR="0">
            <wp:extent cx="723900" cy="1828800"/>
            <wp:effectExtent l="19050" t="0" r="0" b="0"/>
            <wp:docPr id="6" name="Image 6" descr="test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estof"/>
                    <pic:cNvPicPr>
                      <a:picLocks noChangeAspect="1" noChangeArrowheads="1"/>
                    </pic:cNvPicPr>
                  </pic:nvPicPr>
                  <pic:blipFill>
                    <a:blip r:embed="rId10"/>
                    <a:srcRect l="63200" t="5254" b="5341"/>
                    <a:stretch>
                      <a:fillRect/>
                    </a:stretch>
                  </pic:blipFill>
                  <pic:spPr bwMode="auto">
                    <a:xfrm>
                      <a:off x="0" y="0"/>
                      <a:ext cx="723900" cy="1828800"/>
                    </a:xfrm>
                    <a:prstGeom prst="rect">
                      <a:avLst/>
                    </a:prstGeom>
                    <a:noFill/>
                    <a:ln w="9525">
                      <a:noFill/>
                      <a:miter lim="800000"/>
                      <a:headEnd/>
                      <a:tailEnd/>
                    </a:ln>
                  </pic:spPr>
                </pic:pic>
              </a:graphicData>
            </a:graphic>
          </wp:inline>
        </w:drawing>
      </w:r>
      <w:r>
        <w:rPr>
          <w:rFonts w:ascii="Times New Roman" w:hAnsi="Times New Roman" w:cs="Times New Roman"/>
          <w:sz w:val="20"/>
          <w:szCs w:val="20"/>
        </w:rPr>
        <w:t xml:space="preserve">                    </w:t>
      </w:r>
      <w:r>
        <w:rPr>
          <w:rFonts w:ascii="Times New Roman" w:hAnsi="Times New Roman" w:cs="Times New Roman"/>
          <w:noProof/>
          <w:sz w:val="20"/>
          <w:szCs w:val="20"/>
        </w:rPr>
        <w:drawing>
          <wp:inline distT="0" distB="0" distL="0" distR="0">
            <wp:extent cx="590550" cy="1828800"/>
            <wp:effectExtent l="19050" t="0" r="0" b="0"/>
            <wp:docPr id="7" name="Image 7" descr="test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estof"/>
                    <pic:cNvPicPr>
                      <a:picLocks noChangeAspect="1" noChangeArrowheads="1"/>
                    </pic:cNvPicPr>
                  </pic:nvPicPr>
                  <pic:blipFill>
                    <a:blip r:embed="rId10"/>
                    <a:srcRect l="37268" t="5247" r="32387" b="5458"/>
                    <a:stretch>
                      <a:fillRect/>
                    </a:stretch>
                  </pic:blipFill>
                  <pic:spPr bwMode="auto">
                    <a:xfrm>
                      <a:off x="0" y="0"/>
                      <a:ext cx="590550" cy="1828800"/>
                    </a:xfrm>
                    <a:prstGeom prst="rect">
                      <a:avLst/>
                    </a:prstGeom>
                    <a:noFill/>
                    <a:ln w="9525">
                      <a:noFill/>
                      <a:miter lim="800000"/>
                      <a:headEnd/>
                      <a:tailEnd/>
                    </a:ln>
                  </pic:spPr>
                </pic:pic>
              </a:graphicData>
            </a:graphic>
          </wp:inline>
        </w:drawing>
      </w:r>
      <w:r>
        <w:rPr>
          <w:rFonts w:ascii="Times New Roman" w:hAnsi="Times New Roman" w:cs="Times New Roman"/>
          <w:sz w:val="20"/>
          <w:szCs w:val="20"/>
        </w:rPr>
        <w:t xml:space="preserve">                    </w:t>
      </w:r>
      <w:r>
        <w:rPr>
          <w:rFonts w:ascii="Times New Roman" w:hAnsi="Times New Roman" w:cs="Times New Roman"/>
          <w:noProof/>
          <w:sz w:val="20"/>
          <w:szCs w:val="20"/>
        </w:rPr>
        <w:drawing>
          <wp:inline distT="0" distB="0" distL="0" distR="0">
            <wp:extent cx="666750" cy="1828800"/>
            <wp:effectExtent l="19050" t="0" r="0" b="0"/>
            <wp:docPr id="8" name="Image 8" descr="test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estof"/>
                    <pic:cNvPicPr>
                      <a:picLocks noChangeAspect="1" noChangeArrowheads="1"/>
                    </pic:cNvPicPr>
                  </pic:nvPicPr>
                  <pic:blipFill>
                    <a:blip r:embed="rId10"/>
                    <a:srcRect l="8202" t="5247" r="57854" b="5458"/>
                    <a:stretch>
                      <a:fillRect/>
                    </a:stretch>
                  </pic:blipFill>
                  <pic:spPr bwMode="auto">
                    <a:xfrm>
                      <a:off x="0" y="0"/>
                      <a:ext cx="666750" cy="1828800"/>
                    </a:xfrm>
                    <a:prstGeom prst="rect">
                      <a:avLst/>
                    </a:prstGeom>
                    <a:noFill/>
                    <a:ln w="9525">
                      <a:noFill/>
                      <a:miter lim="800000"/>
                      <a:headEnd/>
                      <a:tailEnd/>
                    </a:ln>
                  </pic:spPr>
                </pic:pic>
              </a:graphicData>
            </a:graphic>
          </wp:inline>
        </w:drawing>
      </w:r>
    </w:p>
    <w:p w:rsidR="002C0665" w:rsidRDefault="002C0665" w:rsidP="002C0665">
      <w:pPr>
        <w:pStyle w:val="NormalWeb"/>
        <w:rPr>
          <w:rFonts w:ascii="Times New Roman" w:hAnsi="Times New Roman" w:cs="Times New Roman"/>
          <w:sz w:val="16"/>
          <w:szCs w:val="16"/>
          <w:lang w:val="en-US"/>
        </w:rPr>
      </w:pPr>
      <w:r>
        <w:rPr>
          <w:rFonts w:ascii="Times New Roman" w:hAnsi="Times New Roman" w:cs="Times New Roman"/>
          <w:sz w:val="16"/>
          <w:szCs w:val="16"/>
          <w:lang w:val="en-US"/>
        </w:rPr>
        <w:t xml:space="preserve">                                                                                        A                                                B                                                C</w:t>
      </w:r>
    </w:p>
    <w:p w:rsidR="002C0665" w:rsidRDefault="002C0665" w:rsidP="002C0665">
      <w:pPr>
        <w:pStyle w:val="NormalWeb"/>
        <w:rPr>
          <w:rFonts w:ascii="Times New Roman" w:hAnsi="Times New Roman" w:cs="Times New Roman"/>
          <w:sz w:val="20"/>
          <w:szCs w:val="20"/>
        </w:rPr>
      </w:pPr>
      <w:r>
        <w:rPr>
          <w:rFonts w:ascii="Times New Roman" w:hAnsi="Times New Roman" w:cs="Times New Roman"/>
          <w:sz w:val="20"/>
          <w:szCs w:val="20"/>
        </w:rPr>
        <w:t xml:space="preserve">Cas A : </w:t>
      </w:r>
      <w:r>
        <w:rPr>
          <w:rFonts w:ascii="Times New Roman" w:hAnsi="Times New Roman" w:cs="Times New Roman"/>
          <w:b/>
          <w:bCs/>
          <w:sz w:val="20"/>
          <w:szCs w:val="20"/>
        </w:rPr>
        <w:t>Acidification dans les deux tubes.</w:t>
      </w:r>
      <w:r>
        <w:rPr>
          <w:rFonts w:ascii="Times New Roman" w:hAnsi="Times New Roman" w:cs="Times New Roman"/>
          <w:sz w:val="20"/>
          <w:szCs w:val="20"/>
        </w:rPr>
        <w:t xml:space="preserve">  </w:t>
      </w:r>
      <w:proofErr w:type="spellStart"/>
      <w:r>
        <w:rPr>
          <w:rFonts w:ascii="Times New Roman" w:hAnsi="Times New Roman" w:cs="Times New Roman"/>
          <w:sz w:val="20"/>
          <w:szCs w:val="20"/>
        </w:rPr>
        <w:t>Resp</w:t>
      </w:r>
      <w:proofErr w:type="spellEnd"/>
      <w:r>
        <w:rPr>
          <w:rFonts w:ascii="Times New Roman" w:hAnsi="Times New Roman" w:cs="Times New Roman"/>
          <w:sz w:val="20"/>
          <w:szCs w:val="20"/>
        </w:rPr>
        <w:t xml:space="preserve">. </w:t>
      </w:r>
      <w:proofErr w:type="gramStart"/>
      <w:r>
        <w:rPr>
          <w:rFonts w:ascii="Times New Roman" w:hAnsi="Times New Roman" w:cs="Times New Roman"/>
          <w:sz w:val="20"/>
          <w:szCs w:val="20"/>
        </w:rPr>
        <w:t>ou</w:t>
      </w:r>
      <w:proofErr w:type="gramEnd"/>
      <w:r>
        <w:rPr>
          <w:rFonts w:ascii="Times New Roman" w:hAnsi="Times New Roman" w:cs="Times New Roman"/>
          <w:sz w:val="20"/>
          <w:szCs w:val="20"/>
        </w:rPr>
        <w:t xml:space="preserve"> </w:t>
      </w:r>
      <w:proofErr w:type="spellStart"/>
      <w:r>
        <w:rPr>
          <w:rFonts w:ascii="Times New Roman" w:hAnsi="Times New Roman" w:cs="Times New Roman"/>
          <w:sz w:val="20"/>
          <w:szCs w:val="20"/>
        </w:rPr>
        <w:t>Ferm</w:t>
      </w:r>
      <w:proofErr w:type="spellEnd"/>
      <w:r>
        <w:rPr>
          <w:rFonts w:ascii="Times New Roman" w:hAnsi="Times New Roman" w:cs="Times New Roman"/>
          <w:sz w:val="20"/>
          <w:szCs w:val="20"/>
        </w:rPr>
        <w:t xml:space="preserve">. </w:t>
      </w:r>
      <w:proofErr w:type="gramStart"/>
      <w:r>
        <w:rPr>
          <w:rFonts w:ascii="Times New Roman" w:hAnsi="Times New Roman" w:cs="Times New Roman"/>
          <w:sz w:val="20"/>
          <w:szCs w:val="20"/>
        </w:rPr>
        <w:t>en</w:t>
      </w:r>
      <w:proofErr w:type="gramEnd"/>
      <w:r>
        <w:rPr>
          <w:rFonts w:ascii="Times New Roman" w:hAnsi="Times New Roman" w:cs="Times New Roman"/>
          <w:sz w:val="20"/>
          <w:szCs w:val="20"/>
        </w:rPr>
        <w:t xml:space="preserve"> aérobiose et </w:t>
      </w:r>
      <w:proofErr w:type="spellStart"/>
      <w:r>
        <w:rPr>
          <w:rFonts w:ascii="Times New Roman" w:hAnsi="Times New Roman" w:cs="Times New Roman"/>
          <w:sz w:val="20"/>
          <w:szCs w:val="20"/>
        </w:rPr>
        <w:t>Ferm</w:t>
      </w:r>
      <w:proofErr w:type="spellEnd"/>
      <w:r>
        <w:rPr>
          <w:rFonts w:ascii="Times New Roman" w:hAnsi="Times New Roman" w:cs="Times New Roman"/>
          <w:sz w:val="20"/>
          <w:szCs w:val="20"/>
        </w:rPr>
        <w:t xml:space="preserve">. </w:t>
      </w:r>
      <w:proofErr w:type="gramStart"/>
      <w:r>
        <w:rPr>
          <w:rFonts w:ascii="Times New Roman" w:hAnsi="Times New Roman" w:cs="Times New Roman"/>
          <w:sz w:val="20"/>
          <w:szCs w:val="20"/>
        </w:rPr>
        <w:t>en</w:t>
      </w:r>
      <w:proofErr w:type="gramEnd"/>
      <w:r>
        <w:rPr>
          <w:rFonts w:ascii="Times New Roman" w:hAnsi="Times New Roman" w:cs="Times New Roman"/>
          <w:sz w:val="20"/>
          <w:szCs w:val="20"/>
        </w:rPr>
        <w:t xml:space="preserve"> anaérobiose   Par </w:t>
      </w:r>
      <w:r>
        <w:rPr>
          <w:rFonts w:ascii="Times New Roman" w:hAnsi="Times New Roman" w:cs="Times New Roman"/>
          <w:i/>
          <w:iCs/>
          <w:sz w:val="20"/>
          <w:szCs w:val="20"/>
        </w:rPr>
        <w:t>convention</w:t>
      </w:r>
      <w:r>
        <w:rPr>
          <w:rFonts w:ascii="Times New Roman" w:hAnsi="Times New Roman" w:cs="Times New Roman"/>
          <w:sz w:val="20"/>
          <w:szCs w:val="20"/>
        </w:rPr>
        <w:t xml:space="preserve"> on note </w:t>
      </w:r>
      <w:r>
        <w:rPr>
          <w:rFonts w:ascii="Times New Roman" w:hAnsi="Times New Roman" w:cs="Times New Roman"/>
          <w:b/>
          <w:bCs/>
          <w:sz w:val="20"/>
          <w:szCs w:val="20"/>
        </w:rPr>
        <w:t>test o/f = F</w:t>
      </w:r>
      <w:r>
        <w:rPr>
          <w:rFonts w:ascii="Times New Roman" w:hAnsi="Times New Roman" w:cs="Times New Roman"/>
          <w:sz w:val="20"/>
          <w:szCs w:val="20"/>
        </w:rPr>
        <w:t xml:space="preserve"> (germe généralement </w:t>
      </w:r>
      <w:proofErr w:type="spellStart"/>
      <w:r>
        <w:rPr>
          <w:rFonts w:ascii="Times New Roman" w:hAnsi="Times New Roman" w:cs="Times New Roman"/>
          <w:sz w:val="20"/>
          <w:szCs w:val="20"/>
        </w:rPr>
        <w:t>aéro</w:t>
      </w:r>
      <w:proofErr w:type="spellEnd"/>
      <w:r>
        <w:rPr>
          <w:rFonts w:ascii="Times New Roman" w:hAnsi="Times New Roman" w:cs="Times New Roman"/>
          <w:sz w:val="20"/>
          <w:szCs w:val="20"/>
        </w:rPr>
        <w:t>-anaérobie).</w:t>
      </w:r>
      <w:r>
        <w:rPr>
          <w:rFonts w:ascii="Times New Roman" w:hAnsi="Times New Roman" w:cs="Times New Roman"/>
          <w:sz w:val="20"/>
          <w:szCs w:val="20"/>
        </w:rPr>
        <w:br/>
        <w:t xml:space="preserve">Cas B : </w:t>
      </w:r>
      <w:r>
        <w:rPr>
          <w:rFonts w:ascii="Times New Roman" w:hAnsi="Times New Roman" w:cs="Times New Roman"/>
          <w:b/>
          <w:bCs/>
          <w:sz w:val="20"/>
          <w:szCs w:val="20"/>
        </w:rPr>
        <w:t>Acidification en aérobiose seulement</w:t>
      </w:r>
      <w:r>
        <w:rPr>
          <w:rFonts w:ascii="Times New Roman" w:hAnsi="Times New Roman" w:cs="Times New Roman"/>
          <w:sz w:val="20"/>
          <w:szCs w:val="20"/>
        </w:rPr>
        <w:t xml:space="preserve">. La bactérie ne peut que respirer </w:t>
      </w:r>
      <w:r>
        <w:rPr>
          <w:rFonts w:ascii="Times New Roman" w:hAnsi="Times New Roman" w:cs="Times New Roman"/>
          <w:b/>
          <w:bCs/>
          <w:sz w:val="20"/>
          <w:szCs w:val="20"/>
        </w:rPr>
        <w:t>test o/f = O</w:t>
      </w:r>
      <w:r>
        <w:rPr>
          <w:rFonts w:ascii="Times New Roman" w:hAnsi="Times New Roman" w:cs="Times New Roman"/>
          <w:sz w:val="20"/>
          <w:szCs w:val="20"/>
        </w:rPr>
        <w:t xml:space="preserve">  (germe aérobie strict).</w:t>
      </w:r>
      <w:r>
        <w:rPr>
          <w:rFonts w:ascii="Times New Roman" w:hAnsi="Times New Roman" w:cs="Times New Roman"/>
          <w:sz w:val="20"/>
          <w:szCs w:val="20"/>
        </w:rPr>
        <w:br/>
        <w:t xml:space="preserve"> Cas C: </w:t>
      </w:r>
      <w:r>
        <w:rPr>
          <w:rFonts w:ascii="Times New Roman" w:hAnsi="Times New Roman" w:cs="Times New Roman"/>
          <w:b/>
          <w:bCs/>
          <w:sz w:val="20"/>
          <w:szCs w:val="20"/>
        </w:rPr>
        <w:t>Aucune acidification</w:t>
      </w:r>
      <w:r>
        <w:rPr>
          <w:rFonts w:ascii="Times New Roman" w:hAnsi="Times New Roman" w:cs="Times New Roman"/>
          <w:sz w:val="20"/>
          <w:szCs w:val="20"/>
        </w:rPr>
        <w:t xml:space="preserve">. La souche ne sait pas utiliser le glucose </w:t>
      </w:r>
      <w:r>
        <w:rPr>
          <w:rFonts w:ascii="Times New Roman" w:hAnsi="Times New Roman" w:cs="Times New Roman"/>
          <w:b/>
          <w:bCs/>
          <w:sz w:val="20"/>
          <w:szCs w:val="20"/>
        </w:rPr>
        <w:t xml:space="preserve">test o/f = Négatif </w:t>
      </w:r>
      <w:r>
        <w:rPr>
          <w:rFonts w:ascii="Times New Roman" w:hAnsi="Times New Roman" w:cs="Times New Roman"/>
          <w:sz w:val="20"/>
          <w:szCs w:val="20"/>
        </w:rPr>
        <w:t>(type respiratoire impossible à déterminer par cette méthode).</w:t>
      </w:r>
    </w:p>
    <w:p w:rsidR="002C0665" w:rsidRDefault="002C0665" w:rsidP="002C0665">
      <w:pPr>
        <w:pStyle w:val="NormalWeb"/>
        <w:rPr>
          <w:sz w:val="20"/>
          <w:szCs w:val="20"/>
        </w:rPr>
      </w:pPr>
      <w:r>
        <w:rPr>
          <w:rFonts w:ascii="Times New Roman" w:hAnsi="Times New Roman" w:cs="Times New Roman"/>
          <w:sz w:val="20"/>
          <w:szCs w:val="20"/>
        </w:rPr>
        <w:t>Il existe parfois un 4</w:t>
      </w:r>
      <w:r w:rsidRPr="00EA7D92">
        <w:rPr>
          <w:rFonts w:ascii="Times New Roman" w:hAnsi="Times New Roman" w:cs="Times New Roman"/>
          <w:sz w:val="20"/>
          <w:szCs w:val="20"/>
          <w:vertAlign w:val="superscript"/>
        </w:rPr>
        <w:t>ème</w:t>
      </w:r>
      <w:r>
        <w:rPr>
          <w:rFonts w:ascii="Times New Roman" w:hAnsi="Times New Roman" w:cs="Times New Roman"/>
          <w:sz w:val="20"/>
          <w:szCs w:val="20"/>
        </w:rPr>
        <w:t xml:space="preserve"> cas qui correspond aux anaérobies strict </w:t>
      </w:r>
      <w:proofErr w:type="spellStart"/>
      <w:r w:rsidRPr="00EA7D92">
        <w:rPr>
          <w:rFonts w:ascii="Times New Roman" w:hAnsi="Times New Roman" w:cs="Times New Roman"/>
          <w:sz w:val="20"/>
          <w:szCs w:val="20"/>
          <w:u w:val="single"/>
        </w:rPr>
        <w:t>aerotolerant</w:t>
      </w:r>
      <w:proofErr w:type="spellEnd"/>
      <w:r>
        <w:rPr>
          <w:rFonts w:ascii="Times New Roman" w:hAnsi="Times New Roman" w:cs="Times New Roman"/>
          <w:sz w:val="20"/>
          <w:szCs w:val="20"/>
        </w:rPr>
        <w:t xml:space="preserve"> (certains </w:t>
      </w:r>
      <w:proofErr w:type="spellStart"/>
      <w:r>
        <w:rPr>
          <w:rFonts w:ascii="Times New Roman" w:hAnsi="Times New Roman" w:cs="Times New Roman"/>
          <w:sz w:val="20"/>
          <w:szCs w:val="20"/>
        </w:rPr>
        <w:t>Clostridium</w:t>
      </w:r>
      <w:proofErr w:type="spellEnd"/>
      <w:r>
        <w:rPr>
          <w:rFonts w:ascii="Times New Roman" w:hAnsi="Times New Roman" w:cs="Times New Roman"/>
          <w:sz w:val="20"/>
          <w:szCs w:val="20"/>
        </w:rPr>
        <w:t xml:space="preserve"> par exemple) Seul le tube avec bouchon de paraffine vire au jaune. Cependant, le bouchon de paraffine ne permettant pas une </w:t>
      </w:r>
      <w:proofErr w:type="spellStart"/>
      <w:r>
        <w:rPr>
          <w:rFonts w:ascii="Times New Roman" w:hAnsi="Times New Roman" w:cs="Times New Roman"/>
          <w:sz w:val="20"/>
          <w:szCs w:val="20"/>
        </w:rPr>
        <w:t>anaerobiose</w:t>
      </w:r>
      <w:proofErr w:type="spellEnd"/>
      <w:r>
        <w:rPr>
          <w:rFonts w:ascii="Times New Roman" w:hAnsi="Times New Roman" w:cs="Times New Roman"/>
          <w:sz w:val="20"/>
          <w:szCs w:val="20"/>
        </w:rPr>
        <w:t xml:space="preserve"> complète, le test n’est pas valide pour tout les </w:t>
      </w:r>
      <w:proofErr w:type="spellStart"/>
      <w:r>
        <w:rPr>
          <w:rFonts w:ascii="Times New Roman" w:hAnsi="Times New Roman" w:cs="Times New Roman"/>
          <w:sz w:val="20"/>
          <w:szCs w:val="20"/>
        </w:rPr>
        <w:t>anaerobie</w:t>
      </w:r>
      <w:proofErr w:type="spellEnd"/>
      <w:r>
        <w:rPr>
          <w:rFonts w:ascii="Times New Roman" w:hAnsi="Times New Roman" w:cs="Times New Roman"/>
          <w:sz w:val="20"/>
          <w:szCs w:val="20"/>
        </w:rPr>
        <w:t xml:space="preserve">. Par convention on </w:t>
      </w:r>
      <w:proofErr w:type="spellStart"/>
      <w:r>
        <w:rPr>
          <w:rFonts w:ascii="Times New Roman" w:hAnsi="Times New Roman" w:cs="Times New Roman"/>
          <w:sz w:val="20"/>
          <w:szCs w:val="20"/>
        </w:rPr>
        <w:t>decide</w:t>
      </w:r>
      <w:proofErr w:type="spellEnd"/>
      <w:r>
        <w:rPr>
          <w:rFonts w:ascii="Times New Roman" w:hAnsi="Times New Roman" w:cs="Times New Roman"/>
          <w:sz w:val="20"/>
          <w:szCs w:val="20"/>
        </w:rPr>
        <w:t xml:space="preserve"> que ce test est dit </w:t>
      </w:r>
      <w:r w:rsidRPr="00EA7D92">
        <w:rPr>
          <w:rFonts w:ascii="Times New Roman" w:hAnsi="Times New Roman" w:cs="Times New Roman"/>
          <w:b/>
          <w:bCs/>
          <w:sz w:val="20"/>
          <w:szCs w:val="20"/>
        </w:rPr>
        <w:t>Non applicable</w:t>
      </w:r>
      <w:r>
        <w:rPr>
          <w:rFonts w:ascii="Times New Roman" w:hAnsi="Times New Roman" w:cs="Times New Roman"/>
          <w:sz w:val="20"/>
          <w:szCs w:val="20"/>
        </w:rPr>
        <w:t>.</w:t>
      </w:r>
    </w:p>
    <w:p w:rsidR="002C0665" w:rsidRDefault="002C0665" w:rsidP="002C0665">
      <w:pPr>
        <w:jc w:val="both"/>
      </w:pPr>
      <w:r>
        <w:tab/>
      </w:r>
    </w:p>
    <w:p w:rsidR="002C0665" w:rsidRDefault="002C0665" w:rsidP="002C0665">
      <w:pPr>
        <w:pStyle w:val="Titre1"/>
      </w:pPr>
      <w:r>
        <w:t>V Recherche de la mobilité</w:t>
      </w:r>
    </w:p>
    <w:p w:rsidR="002C0665" w:rsidRDefault="002C0665" w:rsidP="002C0665">
      <w:pPr>
        <w:jc w:val="both"/>
      </w:pPr>
    </w:p>
    <w:p w:rsidR="002C0665" w:rsidRDefault="002C0665" w:rsidP="002C0665">
      <w:pPr>
        <w:jc w:val="both"/>
      </w:pPr>
      <w:r>
        <w:t>Voir le texte sur les observations microscopiques.</w:t>
      </w:r>
    </w:p>
    <w:p w:rsidR="002C0665" w:rsidRDefault="002C0665" w:rsidP="002C0665">
      <w:pPr>
        <w:jc w:val="both"/>
      </w:pPr>
    </w:p>
    <w:p w:rsidR="002C0665" w:rsidRDefault="002C0665" w:rsidP="002C0665">
      <w:pPr>
        <w:jc w:val="both"/>
      </w:pPr>
      <w:r>
        <w:t xml:space="preserve">Ce test permet de déterminer si une bactérie est </w:t>
      </w:r>
      <w:r>
        <w:rPr>
          <w:b/>
          <w:bCs/>
        </w:rPr>
        <w:t>mobile ou non</w:t>
      </w:r>
      <w:r>
        <w:t xml:space="preserve"> et, éventuellement si elle est mobile, de déterminer le type de ciliature (</w:t>
      </w:r>
      <w:proofErr w:type="spellStart"/>
      <w:r>
        <w:t>péritriche</w:t>
      </w:r>
      <w:proofErr w:type="spellEnd"/>
      <w:r>
        <w:t xml:space="preserve">, </w:t>
      </w:r>
      <w:proofErr w:type="spellStart"/>
      <w:r>
        <w:t>lophotriche</w:t>
      </w:r>
      <w:proofErr w:type="spellEnd"/>
      <w:r>
        <w:t xml:space="preserve">, </w:t>
      </w:r>
      <w:proofErr w:type="spellStart"/>
      <w:r>
        <w:t>monotriche</w:t>
      </w:r>
      <w:proofErr w:type="spellEnd"/>
      <w:r>
        <w:t>…).</w:t>
      </w:r>
    </w:p>
    <w:p w:rsidR="002C0665" w:rsidRDefault="002C0665" w:rsidP="002C0665">
      <w:pPr>
        <w:jc w:val="both"/>
      </w:pPr>
    </w:p>
    <w:p w:rsidR="002C0665" w:rsidRDefault="002C0665" w:rsidP="002C0665">
      <w:pPr>
        <w:jc w:val="both"/>
      </w:pPr>
      <w:r>
        <w:t>Causes d’erreurs : anse trop chaude, mélange trop brutal, culture âgée…</w:t>
      </w:r>
    </w:p>
    <w:p w:rsidR="002C0665" w:rsidRDefault="002C0665" w:rsidP="002C0665">
      <w:pPr>
        <w:jc w:val="both"/>
      </w:pPr>
    </w:p>
    <w:p w:rsidR="002C0665" w:rsidRDefault="002C0665" w:rsidP="002C0665">
      <w:pPr>
        <w:jc w:val="both"/>
      </w:pPr>
    </w:p>
    <w:p w:rsidR="002C0665" w:rsidRDefault="002C0665" w:rsidP="002C0665">
      <w:pPr>
        <w:jc w:val="both"/>
        <w:rPr>
          <w:b/>
          <w:bCs/>
          <w:u w:val="single"/>
        </w:rPr>
      </w:pPr>
      <w:r>
        <w:rPr>
          <w:b/>
          <w:bCs/>
          <w:u w:val="single"/>
        </w:rPr>
        <w:t>VI Autres caractères utiles.</w:t>
      </w:r>
    </w:p>
    <w:p w:rsidR="002C0665" w:rsidRDefault="002C0665" w:rsidP="002C0665">
      <w:pPr>
        <w:jc w:val="both"/>
      </w:pPr>
    </w:p>
    <w:p w:rsidR="002C0665" w:rsidRDefault="002C0665" w:rsidP="002C0665">
      <w:pPr>
        <w:jc w:val="both"/>
      </w:pPr>
      <w:r>
        <w:t>D’autres caractères déterminables facilement (par simple lecture) sont parfois utiles.</w:t>
      </w:r>
    </w:p>
    <w:p w:rsidR="002C0665" w:rsidRDefault="002C0665" w:rsidP="002C0665">
      <w:pPr>
        <w:jc w:val="both"/>
      </w:pPr>
    </w:p>
    <w:p w:rsidR="002C0665" w:rsidRDefault="002C0665" w:rsidP="002C0665">
      <w:pPr>
        <w:numPr>
          <w:ilvl w:val="0"/>
          <w:numId w:val="2"/>
        </w:numPr>
        <w:jc w:val="both"/>
      </w:pPr>
      <w:r>
        <w:t>l’hémolyse</w:t>
      </w:r>
    </w:p>
    <w:p w:rsidR="002C0665" w:rsidRDefault="002C0665" w:rsidP="002C0665">
      <w:pPr>
        <w:jc w:val="both"/>
      </w:pPr>
    </w:p>
    <w:p w:rsidR="002C0665" w:rsidRDefault="002C0665" w:rsidP="002C0665">
      <w:pPr>
        <w:jc w:val="both"/>
        <w:rPr>
          <w:b/>
          <w:bCs/>
        </w:rPr>
      </w:pPr>
      <w:r>
        <w:t xml:space="preserve">L’hémolyse, ou lyse des hématies, est due à la rupture de leur membrane plasmique, souvent sous l’action de </w:t>
      </w:r>
      <w:proofErr w:type="spellStart"/>
      <w:r>
        <w:t>phosphatidyl</w:t>
      </w:r>
      <w:proofErr w:type="spellEnd"/>
      <w:r>
        <w:t xml:space="preserve">-choline estérase des bactéries et sous l’action de molécules provoquant la formation de pores  membranaires (hémolysine). Ce phénomène libère de l’hémoglobine qui est ensuite plus ou moins digérée. Si la </w:t>
      </w:r>
      <w:r>
        <w:rPr>
          <w:b/>
          <w:bCs/>
        </w:rPr>
        <w:t>digestion est totale</w:t>
      </w:r>
      <w:r>
        <w:t xml:space="preserve">, </w:t>
      </w:r>
      <w:r>
        <w:rPr>
          <w:b/>
          <w:bCs/>
        </w:rPr>
        <w:t>la couleur rouge disparaît</w:t>
      </w:r>
      <w:r>
        <w:t xml:space="preserve"> et on observe une zone éclaircie (hémolyse partielle), voir incolore (hémolyse complète) autour de la colonie. On parle alors </w:t>
      </w:r>
      <w:proofErr w:type="gramStart"/>
      <w:r>
        <w:rPr>
          <w:b/>
          <w:bCs/>
        </w:rPr>
        <w:t xml:space="preserve">d’hémolyse </w:t>
      </w:r>
      <w:proofErr w:type="gramEnd"/>
      <w:r>
        <w:rPr>
          <w:b/>
          <w:bCs/>
        </w:rPr>
        <w:sym w:font="Symbol" w:char="F062"/>
      </w:r>
      <w:r>
        <w:t xml:space="preserve">. La digestion peut être </w:t>
      </w:r>
      <w:r>
        <w:rPr>
          <w:b/>
          <w:bCs/>
        </w:rPr>
        <w:t>incomplète</w:t>
      </w:r>
      <w:r>
        <w:t xml:space="preserve"> et il se forme </w:t>
      </w:r>
      <w:r>
        <w:rPr>
          <w:b/>
          <w:bCs/>
        </w:rPr>
        <w:t>des produits verdâtres ou marrons</w:t>
      </w:r>
      <w:r>
        <w:t xml:space="preserve"> (dont la </w:t>
      </w:r>
      <w:proofErr w:type="spellStart"/>
      <w:r>
        <w:t>methémoglobine</w:t>
      </w:r>
      <w:proofErr w:type="spellEnd"/>
      <w:r>
        <w:t xml:space="preserve">) et on parle </w:t>
      </w:r>
      <w:proofErr w:type="gramStart"/>
      <w:r>
        <w:rPr>
          <w:b/>
          <w:bCs/>
        </w:rPr>
        <w:t xml:space="preserve">d’hémolyse </w:t>
      </w:r>
      <w:proofErr w:type="gramEnd"/>
      <w:r>
        <w:rPr>
          <w:b/>
          <w:bCs/>
        </w:rPr>
        <w:sym w:font="Symbol" w:char="F061"/>
      </w:r>
      <w:r>
        <w:rPr>
          <w:b/>
          <w:bCs/>
        </w:rPr>
        <w:t>.</w:t>
      </w:r>
    </w:p>
    <w:p w:rsidR="002C0665" w:rsidRDefault="002C0665" w:rsidP="002C0665">
      <w:pPr>
        <w:jc w:val="both"/>
      </w:pPr>
    </w:p>
    <w:p w:rsidR="002C0665" w:rsidRDefault="002C0665" w:rsidP="002C0665">
      <w:pPr>
        <w:jc w:val="both"/>
      </w:pPr>
      <w:r>
        <w:t>On distingue donc :</w:t>
      </w:r>
    </w:p>
    <w:p w:rsidR="002C0665" w:rsidRDefault="002C0665" w:rsidP="002C0665">
      <w:pPr>
        <w:jc w:val="both"/>
      </w:pPr>
    </w:p>
    <w:p w:rsidR="002C0665" w:rsidRDefault="002C0665" w:rsidP="002C0665">
      <w:pPr>
        <w:numPr>
          <w:ilvl w:val="0"/>
          <w:numId w:val="1"/>
        </w:numPr>
        <w:jc w:val="both"/>
      </w:pPr>
      <w:r>
        <w:t xml:space="preserve">Les germes à hémolyse </w:t>
      </w:r>
      <w:r>
        <w:sym w:font="Symbol" w:char="F062"/>
      </w:r>
      <w:r>
        <w:t xml:space="preserve"> complète et hémolyse </w:t>
      </w:r>
      <w:r>
        <w:sym w:font="Symbol" w:char="F062"/>
      </w:r>
      <w:r>
        <w:t xml:space="preserve"> partielle.</w:t>
      </w:r>
    </w:p>
    <w:p w:rsidR="002C0665" w:rsidRDefault="002C0665" w:rsidP="002C0665">
      <w:pPr>
        <w:numPr>
          <w:ilvl w:val="0"/>
          <w:numId w:val="1"/>
        </w:numPr>
        <w:jc w:val="both"/>
      </w:pPr>
      <w:r>
        <w:t xml:space="preserve">Les germes à hémolyse </w:t>
      </w:r>
      <w:r>
        <w:sym w:font="Symbol" w:char="F061"/>
      </w:r>
    </w:p>
    <w:p w:rsidR="002C0665" w:rsidRDefault="002C0665" w:rsidP="002C0665">
      <w:pPr>
        <w:numPr>
          <w:ilvl w:val="0"/>
          <w:numId w:val="1"/>
        </w:numPr>
        <w:jc w:val="both"/>
      </w:pPr>
      <w:r>
        <w:t>Les germes non hémolytiques (parfois improprement appelée hémolyse gamma)</w:t>
      </w:r>
    </w:p>
    <w:p w:rsidR="002C0665" w:rsidRDefault="002C0665" w:rsidP="002C0665">
      <w:pPr>
        <w:jc w:val="center"/>
      </w:pPr>
    </w:p>
    <w:p w:rsidR="002C0665" w:rsidRDefault="002C0665" w:rsidP="002C0665">
      <w:pPr>
        <w:jc w:val="center"/>
        <w:rPr>
          <w:sz w:val="16"/>
          <w:szCs w:val="16"/>
        </w:rPr>
      </w:pPr>
      <w:r>
        <w:rPr>
          <w:noProof/>
          <w:sz w:val="16"/>
          <w:szCs w:val="16"/>
        </w:rPr>
        <w:lastRenderedPageBreak/>
        <w:drawing>
          <wp:inline distT="0" distB="0" distL="0" distR="0">
            <wp:extent cx="1552575" cy="1266825"/>
            <wp:effectExtent l="19050" t="0" r="9525" b="0"/>
            <wp:docPr id="9" name="Image 9" descr="s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g"/>
                    <pic:cNvPicPr>
                      <a:picLocks noChangeAspect="1" noChangeArrowheads="1"/>
                    </pic:cNvPicPr>
                  </pic:nvPicPr>
                  <pic:blipFill>
                    <a:blip r:embed="rId11"/>
                    <a:srcRect t="16547"/>
                    <a:stretch>
                      <a:fillRect/>
                    </a:stretch>
                  </pic:blipFill>
                  <pic:spPr bwMode="auto">
                    <a:xfrm>
                      <a:off x="0" y="0"/>
                      <a:ext cx="1552575" cy="1266825"/>
                    </a:xfrm>
                    <a:prstGeom prst="rect">
                      <a:avLst/>
                    </a:prstGeom>
                    <a:noFill/>
                    <a:ln w="9525">
                      <a:noFill/>
                      <a:miter lim="800000"/>
                      <a:headEnd/>
                      <a:tailEnd/>
                    </a:ln>
                  </pic:spPr>
                </pic:pic>
              </a:graphicData>
            </a:graphic>
          </wp:inline>
        </w:drawing>
      </w:r>
      <w:r>
        <w:rPr>
          <w:sz w:val="16"/>
          <w:szCs w:val="16"/>
        </w:rPr>
        <w:t xml:space="preserve">     </w:t>
      </w:r>
      <w:r>
        <w:rPr>
          <w:noProof/>
          <w:sz w:val="16"/>
          <w:szCs w:val="16"/>
        </w:rPr>
        <w:drawing>
          <wp:inline distT="0" distB="0" distL="0" distR="0">
            <wp:extent cx="1533525" cy="1266825"/>
            <wp:effectExtent l="19050" t="0" r="9525" b="0"/>
            <wp:docPr id="10" name="Image 10" descr="ha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aemo"/>
                    <pic:cNvPicPr>
                      <a:picLocks noChangeAspect="1" noChangeArrowheads="1"/>
                    </pic:cNvPicPr>
                  </pic:nvPicPr>
                  <pic:blipFill>
                    <a:blip r:embed="rId12"/>
                    <a:srcRect t="10954"/>
                    <a:stretch>
                      <a:fillRect/>
                    </a:stretch>
                  </pic:blipFill>
                  <pic:spPr bwMode="auto">
                    <a:xfrm>
                      <a:off x="0" y="0"/>
                      <a:ext cx="1533525" cy="1266825"/>
                    </a:xfrm>
                    <a:prstGeom prst="rect">
                      <a:avLst/>
                    </a:prstGeom>
                    <a:noFill/>
                    <a:ln w="9525">
                      <a:noFill/>
                      <a:miter lim="800000"/>
                      <a:headEnd/>
                      <a:tailEnd/>
                    </a:ln>
                  </pic:spPr>
                </pic:pic>
              </a:graphicData>
            </a:graphic>
          </wp:inline>
        </w:drawing>
      </w:r>
    </w:p>
    <w:p w:rsidR="002C0665" w:rsidRDefault="002C0665" w:rsidP="002C0665">
      <w:pPr>
        <w:pStyle w:val="Notedebasdepage"/>
      </w:pPr>
      <w:r>
        <w:rPr>
          <w:sz w:val="16"/>
          <w:szCs w:val="16"/>
        </w:rPr>
        <w:t xml:space="preserve">                                                                            </w:t>
      </w:r>
      <w:proofErr w:type="gramStart"/>
      <w:r>
        <w:rPr>
          <w:sz w:val="16"/>
          <w:szCs w:val="16"/>
        </w:rPr>
        <w:t>colonies</w:t>
      </w:r>
      <w:proofErr w:type="gramEnd"/>
      <w:r>
        <w:rPr>
          <w:sz w:val="16"/>
          <w:szCs w:val="16"/>
        </w:rPr>
        <w:t xml:space="preserve"> </w:t>
      </w:r>
      <w:r>
        <w:rPr>
          <w:sz w:val="16"/>
          <w:szCs w:val="16"/>
        </w:rPr>
        <w:sym w:font="Symbol" w:char="F062"/>
      </w:r>
      <w:r>
        <w:rPr>
          <w:sz w:val="16"/>
          <w:szCs w:val="16"/>
        </w:rPr>
        <w:t xml:space="preserve"> hémolytiques                                          colonies </w:t>
      </w:r>
      <w:r>
        <w:rPr>
          <w:sz w:val="16"/>
          <w:szCs w:val="16"/>
        </w:rPr>
        <w:sym w:font="Symbol" w:char="F061"/>
      </w:r>
      <w:r>
        <w:rPr>
          <w:sz w:val="16"/>
          <w:szCs w:val="16"/>
        </w:rPr>
        <w:t xml:space="preserve"> hémolytiques</w:t>
      </w:r>
    </w:p>
    <w:p w:rsidR="002C0665" w:rsidRDefault="002C0665" w:rsidP="002C0665">
      <w:pPr>
        <w:jc w:val="center"/>
      </w:pPr>
    </w:p>
    <w:p w:rsidR="002C0665" w:rsidRDefault="002C0665" w:rsidP="002C0665">
      <w:pPr>
        <w:jc w:val="both"/>
      </w:pPr>
      <w:r>
        <w:t xml:space="preserve">Il arrive qu’une même colonie soit entourée de deux zones d’hémolyse </w:t>
      </w:r>
      <w:proofErr w:type="spellStart"/>
      <w:r>
        <w:t>succesives</w:t>
      </w:r>
      <w:proofErr w:type="spellEnd"/>
      <w:r>
        <w:t xml:space="preserve"> (</w:t>
      </w:r>
      <w:r>
        <w:sym w:font="Symbol" w:char="F062"/>
      </w:r>
      <w:r>
        <w:t xml:space="preserve"> totale puis </w:t>
      </w:r>
      <w:r>
        <w:sym w:font="Symbol" w:char="F062"/>
      </w:r>
      <w:r>
        <w:t xml:space="preserve"> partielle), on parle alors de souche « double-</w:t>
      </w:r>
      <w:proofErr w:type="spellStart"/>
      <w:r>
        <w:t>hémo</w:t>
      </w:r>
      <w:proofErr w:type="spellEnd"/>
      <w:r>
        <w:t xml:space="preserve"> »  ou hémolyse </w:t>
      </w:r>
      <w:r>
        <w:sym w:font="Symbol" w:char="F071"/>
      </w:r>
    </w:p>
    <w:p w:rsidR="002C0665" w:rsidRDefault="002C0665" w:rsidP="002C0665">
      <w:pPr>
        <w:jc w:val="both"/>
      </w:pPr>
    </w:p>
    <w:p w:rsidR="002C0665" w:rsidRDefault="002C0665" w:rsidP="002C0665">
      <w:pPr>
        <w:jc w:val="center"/>
      </w:pPr>
      <w:r>
        <w:rPr>
          <w:noProof/>
        </w:rPr>
        <w:drawing>
          <wp:inline distT="0" distB="0" distL="0" distR="0">
            <wp:extent cx="1600200" cy="1304925"/>
            <wp:effectExtent l="19050" t="0" r="0" b="0"/>
            <wp:docPr id="11" name="Image 11" descr="doubleh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ublehemo"/>
                    <pic:cNvPicPr>
                      <a:picLocks noChangeAspect="1" noChangeArrowheads="1"/>
                    </pic:cNvPicPr>
                  </pic:nvPicPr>
                  <pic:blipFill>
                    <a:blip r:embed="rId13" cstate="print"/>
                    <a:srcRect t="3268" b="8716"/>
                    <a:stretch>
                      <a:fillRect/>
                    </a:stretch>
                  </pic:blipFill>
                  <pic:spPr bwMode="auto">
                    <a:xfrm>
                      <a:off x="0" y="0"/>
                      <a:ext cx="1600200" cy="1304925"/>
                    </a:xfrm>
                    <a:prstGeom prst="rect">
                      <a:avLst/>
                    </a:prstGeom>
                    <a:noFill/>
                    <a:ln w="9525">
                      <a:noFill/>
                      <a:miter lim="800000"/>
                      <a:headEnd/>
                      <a:tailEnd/>
                    </a:ln>
                  </pic:spPr>
                </pic:pic>
              </a:graphicData>
            </a:graphic>
          </wp:inline>
        </w:drawing>
      </w:r>
    </w:p>
    <w:p w:rsidR="002C0665" w:rsidRDefault="002C0665" w:rsidP="002C0665">
      <w:pPr>
        <w:jc w:val="both"/>
      </w:pPr>
    </w:p>
    <w:p w:rsidR="002C0665" w:rsidRDefault="002C0665" w:rsidP="002C0665">
      <w:pPr>
        <w:jc w:val="both"/>
      </w:pPr>
      <w:r>
        <w:t xml:space="preserve">Causes d’erreurs : recouvrement d’une petite colonie  par une plus grosse, gélose périmée (auto-hémolyse), gélose incubée en anaérobiose (l’hémoglobine réduite prend une couleur marron pouvant être confondue avec une hémolyse </w:t>
      </w:r>
      <w:r>
        <w:sym w:font="Symbol" w:char="F061"/>
      </w:r>
      <w:r>
        <w:t>…)</w:t>
      </w:r>
    </w:p>
    <w:p w:rsidR="002C0665" w:rsidRDefault="002C0665" w:rsidP="002C0665">
      <w:pPr>
        <w:jc w:val="both"/>
      </w:pPr>
    </w:p>
    <w:p w:rsidR="002C0665" w:rsidRDefault="002C0665" w:rsidP="002C0665">
      <w:pPr>
        <w:numPr>
          <w:ilvl w:val="0"/>
          <w:numId w:val="2"/>
        </w:numPr>
        <w:jc w:val="both"/>
      </w:pPr>
      <w:r>
        <w:t>l’exigence de la bactérie</w:t>
      </w:r>
    </w:p>
    <w:p w:rsidR="002C0665" w:rsidRDefault="002C0665" w:rsidP="002C0665">
      <w:pPr>
        <w:jc w:val="both"/>
      </w:pPr>
    </w:p>
    <w:p w:rsidR="002C0665" w:rsidRDefault="002C0665" w:rsidP="002C0665">
      <w:pPr>
        <w:jc w:val="both"/>
      </w:pPr>
      <w:r>
        <w:t xml:space="preserve">Il peut être intéressant de noter les besoins d’une souche bactérienne. Notamment s’il s’agit d’un germe non </w:t>
      </w:r>
      <w:r>
        <w:rPr>
          <w:b/>
          <w:bCs/>
        </w:rPr>
        <w:t>exigeant</w:t>
      </w:r>
      <w:r>
        <w:t xml:space="preserve"> c’est-à-dire pouvant pousser sur des </w:t>
      </w:r>
      <w:r>
        <w:rPr>
          <w:b/>
          <w:bCs/>
        </w:rPr>
        <w:t>milieux non enrichis</w:t>
      </w:r>
      <w:r>
        <w:t xml:space="preserve"> sélectifs ou non  (Gélose </w:t>
      </w:r>
      <w:proofErr w:type="spellStart"/>
      <w:r>
        <w:t>lactosée</w:t>
      </w:r>
      <w:proofErr w:type="spellEnd"/>
      <w:r>
        <w:t xml:space="preserve"> au BCP, </w:t>
      </w:r>
      <w:proofErr w:type="spellStart"/>
      <w:r>
        <w:t>Gassner</w:t>
      </w:r>
      <w:proofErr w:type="spellEnd"/>
      <w:r>
        <w:t xml:space="preserve">…) ou </w:t>
      </w:r>
      <w:r>
        <w:rPr>
          <w:b/>
          <w:bCs/>
        </w:rPr>
        <w:t>exigeant</w:t>
      </w:r>
      <w:r>
        <w:t xml:space="preserve"> c’est-à-dire</w:t>
      </w:r>
      <w:r>
        <w:rPr>
          <w:b/>
          <w:bCs/>
        </w:rPr>
        <w:t xml:space="preserve"> poussant uniquement sur des milieux enrichis</w:t>
      </w:r>
      <w:r>
        <w:t xml:space="preserve"> (Gélose au sang, chocolat…)</w:t>
      </w:r>
    </w:p>
    <w:p w:rsidR="002C0665" w:rsidRDefault="002C0665" w:rsidP="002C0665">
      <w:pPr>
        <w:jc w:val="both"/>
      </w:pPr>
    </w:p>
    <w:p w:rsidR="002C0665" w:rsidRDefault="002C0665" w:rsidP="002C0665">
      <w:pPr>
        <w:numPr>
          <w:ilvl w:val="0"/>
          <w:numId w:val="2"/>
        </w:numPr>
        <w:jc w:val="both"/>
      </w:pPr>
      <w:r>
        <w:t>l’utilisation d’un sucre</w:t>
      </w:r>
    </w:p>
    <w:p w:rsidR="002C0665" w:rsidRDefault="002C0665" w:rsidP="002C0665">
      <w:pPr>
        <w:jc w:val="both"/>
      </w:pPr>
    </w:p>
    <w:p w:rsidR="002C0665" w:rsidRDefault="002C0665" w:rsidP="002C0665">
      <w:pPr>
        <w:jc w:val="both"/>
      </w:pPr>
      <w:r>
        <w:t>De nombreux milieux d’isolement permettent la lecture de certains caractères biochimiques, généralement un sucre (le lactose le plus souvent).</w:t>
      </w:r>
    </w:p>
    <w:p w:rsidR="002C0665" w:rsidRDefault="002C0665" w:rsidP="002C0665">
      <w:pPr>
        <w:jc w:val="both"/>
      </w:pPr>
    </w:p>
    <w:p w:rsidR="002C0665" w:rsidRDefault="002C0665" w:rsidP="002C0665">
      <w:pPr>
        <w:jc w:val="both"/>
      </w:pPr>
      <w:r>
        <w:t>Il est parfois utile de les noter ce qui permet d’éliminer certains genres bactériens…</w:t>
      </w:r>
    </w:p>
    <w:p w:rsidR="006A2A6C" w:rsidRDefault="006A2A6C"/>
    <w:sectPr w:rsidR="006A2A6C" w:rsidSect="006A2A6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B3641"/>
    <w:multiLevelType w:val="hybridMultilevel"/>
    <w:tmpl w:val="BF28EBA2"/>
    <w:lvl w:ilvl="0" w:tplc="52422054">
      <w:start w:val="2"/>
      <w:numFmt w:val="bullet"/>
      <w:lvlText w:val="-"/>
      <w:lvlJc w:val="left"/>
      <w:pPr>
        <w:tabs>
          <w:tab w:val="num" w:pos="1065"/>
        </w:tabs>
        <w:ind w:left="1065" w:hanging="360"/>
      </w:pPr>
      <w:rPr>
        <w:rFonts w:ascii="Times New Roman" w:eastAsia="Times New Roman" w:hAnsi="Times New Roman" w:cs="Times New Roman" w:hint="default"/>
      </w:rPr>
    </w:lvl>
    <w:lvl w:ilvl="1" w:tplc="040C0003" w:tentative="1">
      <w:start w:val="1"/>
      <w:numFmt w:val="bullet"/>
      <w:lvlText w:val="o"/>
      <w:lvlJc w:val="left"/>
      <w:pPr>
        <w:tabs>
          <w:tab w:val="num" w:pos="1785"/>
        </w:tabs>
        <w:ind w:left="1785" w:hanging="360"/>
      </w:pPr>
      <w:rPr>
        <w:rFonts w:ascii="Courier New" w:hAnsi="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1">
    <w:nsid w:val="25E33E61"/>
    <w:multiLevelType w:val="hybridMultilevel"/>
    <w:tmpl w:val="4916215A"/>
    <w:lvl w:ilvl="0" w:tplc="2ED879C0">
      <w:start w:val="1"/>
      <w:numFmt w:val="lowerLetter"/>
      <w:lvlText w:val="%1."/>
      <w:lvlJc w:val="left"/>
      <w:pPr>
        <w:tabs>
          <w:tab w:val="num" w:pos="1065"/>
        </w:tabs>
        <w:ind w:left="1065" w:hanging="360"/>
      </w:pPr>
      <w:rPr>
        <w:rFonts w:hint="default"/>
      </w:rPr>
    </w:lvl>
    <w:lvl w:ilvl="1" w:tplc="040C0019" w:tentative="1">
      <w:start w:val="1"/>
      <w:numFmt w:val="lowerLetter"/>
      <w:lvlText w:val="%2."/>
      <w:lvlJc w:val="left"/>
      <w:pPr>
        <w:tabs>
          <w:tab w:val="num" w:pos="1785"/>
        </w:tabs>
        <w:ind w:left="1785" w:hanging="360"/>
      </w:p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C0665"/>
    <w:rsid w:val="00036A2F"/>
    <w:rsid w:val="002C0665"/>
    <w:rsid w:val="006A2A6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0665"/>
    <w:pPr>
      <w:spacing w:after="0" w:line="240" w:lineRule="auto"/>
    </w:pPr>
    <w:rPr>
      <w:rFonts w:ascii="Times New Roman" w:eastAsia="Times New Roman" w:hAnsi="Times New Roman" w:cs="Times New Roman"/>
      <w:sz w:val="20"/>
      <w:szCs w:val="20"/>
      <w:lang w:eastAsia="fr-FR"/>
    </w:rPr>
  </w:style>
  <w:style w:type="paragraph" w:styleId="Titre1">
    <w:name w:val="heading 1"/>
    <w:basedOn w:val="Normal"/>
    <w:next w:val="Normal"/>
    <w:link w:val="Titre1Car"/>
    <w:qFormat/>
    <w:rsid w:val="002C0665"/>
    <w:pPr>
      <w:keepNext/>
      <w:jc w:val="both"/>
      <w:outlineLvl w:val="0"/>
    </w:pPr>
    <w:rPr>
      <w:b/>
      <w:bCs/>
      <w:u w:val="single"/>
    </w:rPr>
  </w:style>
  <w:style w:type="paragraph" w:styleId="Titre2">
    <w:name w:val="heading 2"/>
    <w:basedOn w:val="Normal"/>
    <w:next w:val="Normal"/>
    <w:link w:val="Titre2Car"/>
    <w:qFormat/>
    <w:rsid w:val="002C0665"/>
    <w:pPr>
      <w:keepNext/>
      <w:jc w:val="both"/>
      <w:outlineLvl w:val="1"/>
    </w:pPr>
    <w:rPr>
      <w:b/>
      <w:bCs/>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2C0665"/>
    <w:rPr>
      <w:rFonts w:ascii="Times New Roman" w:eastAsia="Times New Roman" w:hAnsi="Times New Roman" w:cs="Times New Roman"/>
      <w:b/>
      <w:bCs/>
      <w:sz w:val="20"/>
      <w:szCs w:val="20"/>
      <w:u w:val="single"/>
      <w:lang w:eastAsia="fr-FR"/>
    </w:rPr>
  </w:style>
  <w:style w:type="character" w:customStyle="1" w:styleId="Titre2Car">
    <w:name w:val="Titre 2 Car"/>
    <w:basedOn w:val="Policepardfaut"/>
    <w:link w:val="Titre2"/>
    <w:rsid w:val="002C0665"/>
    <w:rPr>
      <w:rFonts w:ascii="Times New Roman" w:eastAsia="Times New Roman" w:hAnsi="Times New Roman" w:cs="Times New Roman"/>
      <w:b/>
      <w:bCs/>
      <w:i/>
      <w:iCs/>
      <w:sz w:val="20"/>
      <w:szCs w:val="20"/>
      <w:lang w:eastAsia="fr-FR"/>
    </w:rPr>
  </w:style>
  <w:style w:type="paragraph" w:styleId="NormalWeb">
    <w:name w:val="Normal (Web)"/>
    <w:basedOn w:val="Normal"/>
    <w:rsid w:val="002C0665"/>
    <w:pPr>
      <w:spacing w:before="100" w:beforeAutospacing="1" w:after="100" w:afterAutospacing="1"/>
    </w:pPr>
    <w:rPr>
      <w:rFonts w:ascii="Arial Unicode MS" w:eastAsia="Arial Unicode MS" w:hAnsi="Arial Unicode MS" w:cs="Arial Unicode MS"/>
      <w:color w:val="000000"/>
      <w:sz w:val="24"/>
      <w:szCs w:val="24"/>
    </w:rPr>
  </w:style>
  <w:style w:type="paragraph" w:styleId="Notedebasdepage">
    <w:name w:val="footnote text"/>
    <w:basedOn w:val="Normal"/>
    <w:link w:val="NotedebasdepageCar"/>
    <w:semiHidden/>
    <w:rsid w:val="002C0665"/>
  </w:style>
  <w:style w:type="character" w:customStyle="1" w:styleId="NotedebasdepageCar">
    <w:name w:val="Note de bas de page Car"/>
    <w:basedOn w:val="Policepardfaut"/>
    <w:link w:val="Notedebasdepage"/>
    <w:semiHidden/>
    <w:rsid w:val="002C0665"/>
    <w:rPr>
      <w:rFonts w:ascii="Times New Roman" w:eastAsia="Times New Roman" w:hAnsi="Times New Roman" w:cs="Times New Roman"/>
      <w:sz w:val="20"/>
      <w:szCs w:val="20"/>
      <w:lang w:eastAsia="fr-FR"/>
    </w:rPr>
  </w:style>
  <w:style w:type="paragraph" w:styleId="Titre">
    <w:name w:val="Title"/>
    <w:basedOn w:val="Normal"/>
    <w:link w:val="TitreCar"/>
    <w:qFormat/>
    <w:rsid w:val="002C0665"/>
    <w:pPr>
      <w:jc w:val="center"/>
    </w:pPr>
    <w:rPr>
      <w:b/>
      <w:bCs/>
      <w:sz w:val="40"/>
      <w:szCs w:val="40"/>
    </w:rPr>
  </w:style>
  <w:style w:type="character" w:customStyle="1" w:styleId="TitreCar">
    <w:name w:val="Titre Car"/>
    <w:basedOn w:val="Policepardfaut"/>
    <w:link w:val="Titre"/>
    <w:rsid w:val="002C0665"/>
    <w:rPr>
      <w:rFonts w:ascii="Times New Roman" w:eastAsia="Times New Roman" w:hAnsi="Times New Roman" w:cs="Times New Roman"/>
      <w:b/>
      <w:bCs/>
      <w:sz w:val="40"/>
      <w:szCs w:val="40"/>
      <w:lang w:eastAsia="fr-FR"/>
    </w:rPr>
  </w:style>
  <w:style w:type="paragraph" w:styleId="Textedebulles">
    <w:name w:val="Balloon Text"/>
    <w:basedOn w:val="Normal"/>
    <w:link w:val="TextedebullesCar"/>
    <w:uiPriority w:val="99"/>
    <w:semiHidden/>
    <w:unhideWhenUsed/>
    <w:rsid w:val="002C0665"/>
    <w:rPr>
      <w:rFonts w:ascii="Tahoma" w:hAnsi="Tahoma" w:cs="Tahoma"/>
      <w:sz w:val="16"/>
      <w:szCs w:val="16"/>
    </w:rPr>
  </w:style>
  <w:style w:type="character" w:customStyle="1" w:styleId="TextedebullesCar">
    <w:name w:val="Texte de bulles Car"/>
    <w:basedOn w:val="Policepardfaut"/>
    <w:link w:val="Textedebulles"/>
    <w:uiPriority w:val="99"/>
    <w:semiHidden/>
    <w:rsid w:val="002C0665"/>
    <w:rPr>
      <w:rFonts w:ascii="Tahoma" w:eastAsia="Times New Roman" w:hAnsi="Tahoma" w:cs="Tahoma"/>
      <w:sz w:val="16"/>
      <w:szCs w:val="16"/>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1379</Words>
  <Characters>7587</Characters>
  <Application>Microsoft Office Word</Application>
  <DocSecurity>0</DocSecurity>
  <Lines>63</Lines>
  <Paragraphs>17</Paragraphs>
  <ScaleCrop>false</ScaleCrop>
  <Company/>
  <LinksUpToDate>false</LinksUpToDate>
  <CharactersWithSpaces>8949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bouldoum</dc:creator>
  <cp:keywords/>
  <dc:description/>
  <cp:lastModifiedBy>bouldoum</cp:lastModifiedBy>
  <cp:revision>1</cp:revision>
  <cp:lastPrinted>2010-04-25T07:13:00Z</cp:lastPrinted>
  <dcterms:created xsi:type="dcterms:W3CDTF">2010-04-25T07:12:00Z</dcterms:created>
  <dcterms:modified xsi:type="dcterms:W3CDTF">2010-04-25T07:15:00Z</dcterms:modified>
</cp:coreProperties>
</file>